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9D" w:rsidRPr="00CB50C6" w:rsidRDefault="003F619D" w:rsidP="003F619D">
      <w:pPr>
        <w:spacing w:before="120" w:line="2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</w:t>
      </w:r>
      <w:r w:rsidRPr="00CB50C6">
        <w:rPr>
          <w:b/>
          <w:sz w:val="36"/>
          <w:szCs w:val="36"/>
        </w:rPr>
        <w:t>ECHNICKÁ ZPRÁVA</w:t>
      </w:r>
    </w:p>
    <w:p w:rsidR="003F619D" w:rsidRDefault="003F619D" w:rsidP="003F619D">
      <w:pPr>
        <w:rPr>
          <w:rFonts w:cs="Arial"/>
          <w:b/>
          <w:sz w:val="20"/>
          <w:u w:val="single"/>
        </w:rPr>
      </w:pPr>
      <w:bookmarkStart w:id="0" w:name="_Toc223857385__Toc223857386__Toc24303913"/>
    </w:p>
    <w:p w:rsidR="003F619D" w:rsidRDefault="003F619D" w:rsidP="003F619D">
      <w:pPr>
        <w:rPr>
          <w:rFonts w:cs="Arial"/>
          <w:b/>
          <w:sz w:val="28"/>
          <w:szCs w:val="28"/>
          <w:u w:val="single"/>
        </w:rPr>
      </w:pPr>
    </w:p>
    <w:p w:rsidR="003F619D" w:rsidRDefault="003F619D" w:rsidP="003F619D">
      <w:pPr>
        <w:rPr>
          <w:rFonts w:cs="Arial"/>
          <w:b/>
          <w:sz w:val="28"/>
          <w:szCs w:val="28"/>
          <w:u w:val="single"/>
        </w:rPr>
      </w:pPr>
    </w:p>
    <w:bookmarkEnd w:id="0"/>
    <w:p w:rsidR="003F619D" w:rsidRDefault="003F619D" w:rsidP="003F619D">
      <w:pPr>
        <w:rPr>
          <w:szCs w:val="22"/>
        </w:rPr>
      </w:pPr>
    </w:p>
    <w:p w:rsidR="003F619D" w:rsidRDefault="003F619D" w:rsidP="003F619D">
      <w:pPr>
        <w:rPr>
          <w:szCs w:val="22"/>
        </w:rPr>
      </w:pPr>
    </w:p>
    <w:p w:rsidR="003F619D" w:rsidRDefault="003F619D" w:rsidP="003F619D">
      <w:pPr>
        <w:rPr>
          <w:szCs w:val="22"/>
        </w:rPr>
      </w:pPr>
      <w:bookmarkStart w:id="1" w:name="_Toc358729196"/>
    </w:p>
    <w:bookmarkEnd w:id="1"/>
    <w:p w:rsidR="003F619D" w:rsidRDefault="003F619D" w:rsidP="003F619D">
      <w:pPr>
        <w:rPr>
          <w:szCs w:val="22"/>
        </w:rPr>
      </w:pPr>
    </w:p>
    <w:p w:rsidR="003F619D" w:rsidRDefault="003F619D" w:rsidP="003F619D">
      <w:pPr>
        <w:rPr>
          <w:szCs w:val="22"/>
        </w:rPr>
      </w:pPr>
    </w:p>
    <w:p w:rsidR="003F619D" w:rsidRDefault="003F619D" w:rsidP="003F619D">
      <w:pPr>
        <w:rPr>
          <w:szCs w:val="22"/>
        </w:rPr>
      </w:pPr>
    </w:p>
    <w:p w:rsidR="003F619D" w:rsidRDefault="003F619D" w:rsidP="003F619D">
      <w:pPr>
        <w:rPr>
          <w:szCs w:val="22"/>
        </w:rPr>
      </w:pPr>
    </w:p>
    <w:p w:rsidR="003F619D" w:rsidRPr="00385663" w:rsidRDefault="003F619D" w:rsidP="003F619D">
      <w:pPr>
        <w:rPr>
          <w:szCs w:val="22"/>
        </w:rPr>
      </w:pPr>
      <w:bookmarkStart w:id="2" w:name="_Toc243039134"/>
      <w:bookmarkStart w:id="3" w:name="_Toc243057357"/>
      <w:bookmarkStart w:id="4" w:name="_Toc243059694"/>
      <w:bookmarkStart w:id="5" w:name="_Toc243060017"/>
      <w:bookmarkStart w:id="6" w:name="_Toc243101248"/>
      <w:bookmarkStart w:id="7" w:name="_Toc243292407"/>
      <w:bookmarkStart w:id="8" w:name="_Toc245268946"/>
      <w:bookmarkStart w:id="9" w:name="_Toc245268997"/>
    </w:p>
    <w:p w:rsidR="003F619D" w:rsidRPr="00385663" w:rsidRDefault="003F619D" w:rsidP="003F619D">
      <w:pPr>
        <w:rPr>
          <w:szCs w:val="22"/>
        </w:rPr>
      </w:pPr>
    </w:p>
    <w:p w:rsidR="003F619D" w:rsidRPr="00385663" w:rsidRDefault="003F619D" w:rsidP="003F619D">
      <w:pPr>
        <w:rPr>
          <w:szCs w:val="22"/>
        </w:rPr>
      </w:pPr>
    </w:p>
    <w:p w:rsidR="003F619D" w:rsidRPr="00385663" w:rsidRDefault="003F619D" w:rsidP="003F619D">
      <w:pPr>
        <w:rPr>
          <w:szCs w:val="22"/>
        </w:rPr>
      </w:pPr>
    </w:p>
    <w:p w:rsidR="003F619D" w:rsidRPr="00385663" w:rsidRDefault="003F619D" w:rsidP="003F619D">
      <w:pPr>
        <w:rPr>
          <w:szCs w:val="22"/>
        </w:rPr>
      </w:pPr>
    </w:p>
    <w:p w:rsidR="003F619D" w:rsidRPr="00385663" w:rsidRDefault="003F619D" w:rsidP="003F619D">
      <w:pPr>
        <w:rPr>
          <w:szCs w:val="22"/>
        </w:rPr>
      </w:pPr>
    </w:p>
    <w:p w:rsidR="003F619D" w:rsidRDefault="003F619D" w:rsidP="003F619D">
      <w:pPr>
        <w:rPr>
          <w:b/>
          <w:sz w:val="24"/>
        </w:rPr>
      </w:pPr>
    </w:p>
    <w:p w:rsidR="003F619D" w:rsidRDefault="003F619D" w:rsidP="003F619D">
      <w:pPr>
        <w:rPr>
          <w:b/>
          <w:sz w:val="24"/>
        </w:rPr>
      </w:pPr>
    </w:p>
    <w:p w:rsidR="003F619D" w:rsidRDefault="003F619D" w:rsidP="003F619D">
      <w:pPr>
        <w:rPr>
          <w:b/>
          <w:sz w:val="24"/>
        </w:rPr>
      </w:pPr>
    </w:p>
    <w:p w:rsidR="003F619D" w:rsidRDefault="003F619D" w:rsidP="003F619D">
      <w:pPr>
        <w:rPr>
          <w:b/>
          <w:sz w:val="24"/>
        </w:rPr>
      </w:pPr>
    </w:p>
    <w:p w:rsidR="003F619D" w:rsidRPr="006D68C3" w:rsidRDefault="003F619D" w:rsidP="003F619D">
      <w:pPr>
        <w:rPr>
          <w:szCs w:val="22"/>
        </w:rPr>
      </w:pPr>
      <w:r w:rsidRPr="00C464F8">
        <w:rPr>
          <w:b/>
          <w:szCs w:val="22"/>
        </w:rPr>
        <w:t>Název akce:</w:t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bookmarkEnd w:id="2"/>
      <w:bookmarkEnd w:id="3"/>
      <w:bookmarkEnd w:id="4"/>
      <w:bookmarkEnd w:id="5"/>
      <w:bookmarkEnd w:id="6"/>
      <w:bookmarkEnd w:id="7"/>
      <w:r w:rsidRPr="00C464F8">
        <w:rPr>
          <w:b/>
          <w:szCs w:val="22"/>
        </w:rPr>
        <w:tab/>
      </w:r>
      <w:bookmarkEnd w:id="8"/>
      <w:bookmarkEnd w:id="9"/>
      <w:r w:rsidR="000761D5">
        <w:rPr>
          <w:szCs w:val="22"/>
        </w:rPr>
        <w:t>TERMINÁL BE</w:t>
      </w:r>
      <w:r w:rsidR="00296089">
        <w:rPr>
          <w:szCs w:val="22"/>
        </w:rPr>
        <w:t>N</w:t>
      </w:r>
      <w:r w:rsidR="000761D5">
        <w:rPr>
          <w:szCs w:val="22"/>
        </w:rPr>
        <w:t>EŠOV – PARKOVACÍ DŮM</w:t>
      </w:r>
    </w:p>
    <w:p w:rsidR="00302CEE" w:rsidRDefault="003F619D" w:rsidP="003F619D">
      <w:pPr>
        <w:rPr>
          <w:szCs w:val="22"/>
        </w:rPr>
      </w:pPr>
      <w:r w:rsidRPr="006D68C3">
        <w:rPr>
          <w:szCs w:val="22"/>
        </w:rPr>
        <w:tab/>
      </w:r>
      <w:r w:rsidRPr="006D68C3">
        <w:rPr>
          <w:szCs w:val="22"/>
        </w:rPr>
        <w:tab/>
      </w:r>
      <w:r w:rsidRPr="006D68C3">
        <w:rPr>
          <w:szCs w:val="22"/>
        </w:rPr>
        <w:tab/>
      </w:r>
      <w:r w:rsidRPr="006D68C3">
        <w:rPr>
          <w:szCs w:val="22"/>
        </w:rPr>
        <w:tab/>
      </w:r>
      <w:bookmarkStart w:id="10" w:name="_Toc243039135"/>
      <w:bookmarkStart w:id="11" w:name="_Toc243057358"/>
      <w:bookmarkStart w:id="12" w:name="_Toc243059695"/>
      <w:bookmarkStart w:id="13" w:name="_Toc243060018"/>
      <w:bookmarkStart w:id="14" w:name="_Toc243101249"/>
      <w:bookmarkStart w:id="15" w:name="_Toc243292408"/>
      <w:bookmarkStart w:id="16" w:name="_Toc245268947"/>
      <w:bookmarkStart w:id="17" w:name="_Toc245268998"/>
    </w:p>
    <w:p w:rsidR="003F619D" w:rsidRDefault="003F619D" w:rsidP="003F619D">
      <w:pPr>
        <w:rPr>
          <w:szCs w:val="22"/>
        </w:rPr>
      </w:pPr>
      <w:r w:rsidRPr="00C464F8">
        <w:rPr>
          <w:b/>
          <w:szCs w:val="22"/>
        </w:rPr>
        <w:t>Dílčí členění:</w:t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b/>
          <w:szCs w:val="22"/>
        </w:rPr>
        <w:tab/>
      </w:r>
      <w:r>
        <w:rPr>
          <w:szCs w:val="22"/>
        </w:rPr>
        <w:t>ELEKTRO</w:t>
      </w:r>
      <w:r w:rsidR="003F6D25">
        <w:rPr>
          <w:szCs w:val="22"/>
        </w:rPr>
        <w:t>INSTALACE</w:t>
      </w:r>
    </w:p>
    <w:p w:rsidR="000761D5" w:rsidRPr="00C464F8" w:rsidRDefault="000761D5" w:rsidP="003F619D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NOVOSTAVBA PARKOVACÍHO DOMU</w:t>
      </w:r>
    </w:p>
    <w:p w:rsidR="003F619D" w:rsidRPr="00C464F8" w:rsidRDefault="003F619D" w:rsidP="003F619D">
      <w:pPr>
        <w:rPr>
          <w:b/>
          <w:szCs w:val="22"/>
        </w:rPr>
      </w:pPr>
    </w:p>
    <w:p w:rsidR="003F619D" w:rsidRDefault="003F619D" w:rsidP="003F619D">
      <w:pPr>
        <w:rPr>
          <w:szCs w:val="22"/>
        </w:rPr>
      </w:pPr>
      <w:r w:rsidRPr="00C464F8">
        <w:rPr>
          <w:b/>
          <w:szCs w:val="22"/>
        </w:rPr>
        <w:t>Investor:</w:t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r w:rsidR="000761D5">
        <w:rPr>
          <w:szCs w:val="22"/>
        </w:rPr>
        <w:t xml:space="preserve">MĚSTO BENEŠOV, </w:t>
      </w:r>
    </w:p>
    <w:p w:rsidR="00302CEE" w:rsidRDefault="00302CEE" w:rsidP="003F619D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CEJL 494/25, BRNO-ZÁBRDOVICE 602 00</w:t>
      </w:r>
    </w:p>
    <w:p w:rsidR="003F619D" w:rsidRPr="00DD21A2" w:rsidRDefault="003F619D" w:rsidP="003F619D">
      <w:pPr>
        <w:rPr>
          <w:szCs w:val="22"/>
        </w:rPr>
      </w:pPr>
    </w:p>
    <w:p w:rsidR="003F619D" w:rsidRPr="00C464F8" w:rsidRDefault="003F619D" w:rsidP="003F619D">
      <w:pPr>
        <w:rPr>
          <w:b/>
          <w:szCs w:val="22"/>
        </w:rPr>
      </w:pPr>
      <w:r w:rsidRPr="00C464F8">
        <w:rPr>
          <w:b/>
          <w:szCs w:val="22"/>
        </w:rPr>
        <w:t>Zpracoval:</w:t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r w:rsidR="00E478E5">
        <w:rPr>
          <w:szCs w:val="22"/>
        </w:rPr>
        <w:t xml:space="preserve">ing. </w:t>
      </w:r>
      <w:r w:rsidR="000761D5">
        <w:rPr>
          <w:szCs w:val="22"/>
        </w:rPr>
        <w:t xml:space="preserve">Jan </w:t>
      </w:r>
      <w:proofErr w:type="spellStart"/>
      <w:r w:rsidR="000761D5">
        <w:rPr>
          <w:szCs w:val="22"/>
        </w:rPr>
        <w:t>Šobáň</w:t>
      </w:r>
      <w:proofErr w:type="spellEnd"/>
    </w:p>
    <w:p w:rsidR="003F619D" w:rsidRPr="00C464F8" w:rsidRDefault="003F619D" w:rsidP="003F619D">
      <w:pPr>
        <w:rPr>
          <w:b/>
          <w:szCs w:val="22"/>
        </w:rPr>
      </w:pPr>
    </w:p>
    <w:p w:rsidR="003F619D" w:rsidRPr="00C464F8" w:rsidRDefault="003F619D" w:rsidP="003F619D">
      <w:pPr>
        <w:rPr>
          <w:szCs w:val="22"/>
        </w:rPr>
      </w:pPr>
      <w:r w:rsidRPr="00C464F8">
        <w:rPr>
          <w:b/>
          <w:szCs w:val="22"/>
        </w:rPr>
        <w:t>Stupeň dokumentace:</w:t>
      </w:r>
      <w:r w:rsidRPr="00C464F8">
        <w:rPr>
          <w:b/>
          <w:szCs w:val="22"/>
        </w:rPr>
        <w:tab/>
      </w:r>
      <w:r w:rsidR="000761D5">
        <w:rPr>
          <w:szCs w:val="22"/>
        </w:rPr>
        <w:t>dokumentace pro stavební řízení</w:t>
      </w:r>
    </w:p>
    <w:p w:rsidR="003F619D" w:rsidRPr="00C464F8" w:rsidRDefault="003F619D" w:rsidP="003F619D">
      <w:pPr>
        <w:rPr>
          <w:b/>
          <w:szCs w:val="22"/>
        </w:rPr>
      </w:pPr>
    </w:p>
    <w:p w:rsidR="003F619D" w:rsidRPr="00C464F8" w:rsidRDefault="003F619D" w:rsidP="003F619D">
      <w:pPr>
        <w:rPr>
          <w:b/>
          <w:szCs w:val="22"/>
        </w:rPr>
      </w:pPr>
      <w:r w:rsidRPr="00C464F8">
        <w:rPr>
          <w:b/>
          <w:szCs w:val="22"/>
        </w:rPr>
        <w:t>Datum zpracování:</w:t>
      </w:r>
      <w:r w:rsidRPr="00C464F8">
        <w:rPr>
          <w:b/>
          <w:szCs w:val="22"/>
        </w:rPr>
        <w:tab/>
      </w:r>
      <w:r>
        <w:rPr>
          <w:b/>
          <w:szCs w:val="22"/>
        </w:rPr>
        <w:tab/>
      </w:r>
      <w:r w:rsidR="000761D5">
        <w:rPr>
          <w:szCs w:val="22"/>
        </w:rPr>
        <w:t>0</w:t>
      </w:r>
      <w:r w:rsidR="009052A5">
        <w:rPr>
          <w:szCs w:val="22"/>
        </w:rPr>
        <w:t>8</w:t>
      </w:r>
      <w:r>
        <w:rPr>
          <w:szCs w:val="22"/>
        </w:rPr>
        <w:t>.201</w:t>
      </w:r>
      <w:r w:rsidR="000761D5">
        <w:rPr>
          <w:szCs w:val="22"/>
        </w:rPr>
        <w:t>7</w:t>
      </w:r>
    </w:p>
    <w:p w:rsidR="003F619D" w:rsidRPr="00C464F8" w:rsidRDefault="003F619D" w:rsidP="003F619D">
      <w:pPr>
        <w:rPr>
          <w:b/>
          <w:szCs w:val="22"/>
        </w:rPr>
      </w:pPr>
    </w:p>
    <w:p w:rsidR="003F619D" w:rsidRDefault="003F619D" w:rsidP="003F619D">
      <w:pPr>
        <w:rPr>
          <w:szCs w:val="22"/>
        </w:rPr>
      </w:pPr>
      <w:r w:rsidRPr="00C464F8">
        <w:rPr>
          <w:b/>
          <w:szCs w:val="22"/>
        </w:rPr>
        <w:t>Zpracovatel:</w:t>
      </w:r>
      <w:r w:rsidRPr="00C464F8">
        <w:rPr>
          <w:b/>
          <w:szCs w:val="22"/>
        </w:rPr>
        <w:tab/>
      </w:r>
      <w:r w:rsidRPr="00C464F8">
        <w:rPr>
          <w:b/>
          <w:szCs w:val="22"/>
        </w:rPr>
        <w:tab/>
      </w:r>
      <w:r>
        <w:rPr>
          <w:b/>
          <w:szCs w:val="22"/>
        </w:rPr>
        <w:tab/>
      </w:r>
      <w:r w:rsidR="000761D5">
        <w:rPr>
          <w:szCs w:val="22"/>
        </w:rPr>
        <w:t xml:space="preserve">ing. Jan </w:t>
      </w:r>
      <w:proofErr w:type="spellStart"/>
      <w:r w:rsidR="000761D5">
        <w:rPr>
          <w:szCs w:val="22"/>
        </w:rPr>
        <w:t>Šobáň</w:t>
      </w:r>
      <w:proofErr w:type="spellEnd"/>
    </w:p>
    <w:p w:rsidR="000761D5" w:rsidRPr="00C464F8" w:rsidRDefault="000761D5" w:rsidP="003F619D">
      <w:pPr>
        <w:rPr>
          <w:b/>
          <w:szCs w:val="22"/>
        </w:rPr>
      </w:pPr>
    </w:p>
    <w:p w:rsidR="003F619D" w:rsidRPr="003B2799" w:rsidRDefault="003F619D" w:rsidP="00E478E5">
      <w:r w:rsidRPr="00C464F8">
        <w:rPr>
          <w:b/>
          <w:szCs w:val="22"/>
        </w:rPr>
        <w:t>Odpovědný projektant:</w:t>
      </w:r>
      <w:r w:rsidRPr="00C464F8">
        <w:rPr>
          <w:b/>
          <w:szCs w:val="22"/>
        </w:rPr>
        <w:tab/>
      </w:r>
      <w:r w:rsidR="000761D5">
        <w:rPr>
          <w:szCs w:val="22"/>
        </w:rPr>
        <w:t xml:space="preserve">ing. Jan </w:t>
      </w:r>
      <w:proofErr w:type="spellStart"/>
      <w:r w:rsidR="000761D5">
        <w:rPr>
          <w:szCs w:val="22"/>
        </w:rPr>
        <w:t>Šobáň</w:t>
      </w:r>
      <w:proofErr w:type="spellEnd"/>
    </w:p>
    <w:p w:rsidR="003F619D" w:rsidRDefault="003F619D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E478E5" w:rsidRDefault="00E478E5" w:rsidP="003F619D">
      <w:pPr>
        <w:rPr>
          <w:b/>
          <w:sz w:val="24"/>
        </w:rPr>
      </w:pPr>
    </w:p>
    <w:p w:rsidR="003F619D" w:rsidRDefault="003F619D" w:rsidP="003F619D">
      <w:pPr>
        <w:rPr>
          <w:b/>
          <w:sz w:val="24"/>
        </w:rPr>
      </w:pPr>
    </w:p>
    <w:p w:rsidR="003F6D25" w:rsidRDefault="003F6D25" w:rsidP="003F619D">
      <w:pPr>
        <w:rPr>
          <w:b/>
          <w:sz w:val="24"/>
        </w:rPr>
      </w:pPr>
    </w:p>
    <w:p w:rsidR="009052A5" w:rsidRDefault="009052A5" w:rsidP="009052A5">
      <w:pPr>
        <w:pStyle w:val="Nadpis2"/>
        <w:numPr>
          <w:ilvl w:val="0"/>
          <w:numId w:val="12"/>
        </w:numPr>
      </w:pPr>
      <w:bookmarkStart w:id="18" w:name="_Toc243291795"/>
      <w:bookmarkStart w:id="19" w:name="_Toc243292632"/>
      <w:bookmarkStart w:id="20" w:name="_Toc247620177"/>
      <w:bookmarkStart w:id="21" w:name="_Toc248214619"/>
      <w:bookmarkStart w:id="22" w:name="_Toc248661208"/>
      <w:bookmarkStart w:id="23" w:name="_Toc266649038"/>
      <w:bookmarkStart w:id="24" w:name="_Toc266683191"/>
      <w:bookmarkStart w:id="25" w:name="_Toc271280061"/>
      <w:bookmarkStart w:id="26" w:name="_Toc243291816"/>
      <w:bookmarkStart w:id="27" w:name="_Toc243292653"/>
      <w:bookmarkStart w:id="28" w:name="_Toc247620202"/>
      <w:bookmarkStart w:id="29" w:name="_Toc248214644"/>
      <w:bookmarkStart w:id="30" w:name="_Toc312074785"/>
      <w:bookmarkStart w:id="31" w:name="_Toc243291813"/>
      <w:bookmarkStart w:id="32" w:name="_Toc243292650"/>
      <w:bookmarkStart w:id="33" w:name="_Toc247620198"/>
      <w:bookmarkStart w:id="34" w:name="_Toc248214640"/>
      <w:bookmarkStart w:id="35" w:name="_Toc312074781"/>
      <w:bookmarkStart w:id="36" w:name="_Toc291095187"/>
      <w:bookmarkStart w:id="37" w:name="_Toc473093933"/>
      <w:r>
        <w:lastRenderedPageBreak/>
        <w:t>Rozsah slaboproudých rozvodů</w:t>
      </w:r>
      <w:bookmarkEnd w:id="36"/>
      <w:bookmarkEnd w:id="37"/>
    </w:p>
    <w:p w:rsidR="009052A5" w:rsidRDefault="009052A5" w:rsidP="009052A5">
      <w:pPr>
        <w:pStyle w:val="Nadpis2"/>
      </w:pPr>
      <w:r w:rsidRPr="00C737FF">
        <w:t xml:space="preserve">   Navržen je slaboproudý rozvod:</w:t>
      </w:r>
    </w:p>
    <w:p w:rsidR="009052A5" w:rsidRPr="00B366E7" w:rsidRDefault="009052A5" w:rsidP="009052A5">
      <w:pPr>
        <w:pStyle w:val="Nadpis2"/>
      </w:pPr>
      <w:bookmarkStart w:id="38" w:name="_Toc473093934"/>
      <w:r>
        <w:t>Komunikační technologie</w:t>
      </w:r>
      <w:bookmarkEnd w:id="38"/>
    </w:p>
    <w:p w:rsidR="009052A5" w:rsidRPr="00592C0A" w:rsidRDefault="009052A5" w:rsidP="009052A5">
      <w:r w:rsidRPr="00592C0A">
        <w:t>Příprava kabelových tras pro rozvod sítí elektronických komunikací</w:t>
      </w:r>
    </w:p>
    <w:p w:rsidR="009052A5" w:rsidRDefault="009052A5" w:rsidP="009052A5">
      <w:pPr>
        <w:rPr>
          <w:i/>
        </w:rPr>
      </w:pPr>
      <w:r w:rsidRPr="00C737FF">
        <w:t>Telefonu a datové sítě formou un</w:t>
      </w:r>
      <w:r>
        <w:t>iverzálního kabelového systému (</w:t>
      </w:r>
      <w:r w:rsidRPr="00C737FF">
        <w:t>t</w:t>
      </w:r>
      <w:r>
        <w:t xml:space="preserve">zv. strukturované kabeláže) - UK </w:t>
      </w:r>
      <w:r w:rsidRPr="00F9658D">
        <w:t>dle ČSN EN 50173 (</w:t>
      </w:r>
      <w:proofErr w:type="spellStart"/>
      <w:proofErr w:type="gramStart"/>
      <w:r w:rsidRPr="00F9658D">
        <w:t>tř</w:t>
      </w:r>
      <w:proofErr w:type="gramEnd"/>
      <w:r w:rsidRPr="00F9658D">
        <w:t>.</w:t>
      </w:r>
      <w:proofErr w:type="gramStart"/>
      <w:r w:rsidRPr="00F9658D">
        <w:t>znak</w:t>
      </w:r>
      <w:proofErr w:type="spellEnd"/>
      <w:proofErr w:type="gramEnd"/>
      <w:r w:rsidRPr="00F9658D">
        <w:t>: 367253)</w:t>
      </w:r>
      <w:r>
        <w:t xml:space="preserve"> a dle ČSN EN 50174 (</w:t>
      </w:r>
      <w:proofErr w:type="spellStart"/>
      <w:proofErr w:type="gramStart"/>
      <w:r>
        <w:t>tř</w:t>
      </w:r>
      <w:proofErr w:type="gramEnd"/>
      <w:r>
        <w:t>.</w:t>
      </w:r>
      <w:proofErr w:type="gramStart"/>
      <w:r>
        <w:t>znak</w:t>
      </w:r>
      <w:proofErr w:type="spellEnd"/>
      <w:proofErr w:type="gramEnd"/>
      <w:r>
        <w:t xml:space="preserve">: 369071) </w:t>
      </w:r>
      <w:proofErr w:type="spellStart"/>
      <w:r w:rsidRPr="00BA5CCA">
        <w:rPr>
          <w:i/>
        </w:rPr>
        <w:t>Generic</w:t>
      </w:r>
      <w:proofErr w:type="spellEnd"/>
      <w:r w:rsidRPr="00BA5CCA">
        <w:rPr>
          <w:i/>
        </w:rPr>
        <w:t xml:space="preserve"> </w:t>
      </w:r>
      <w:proofErr w:type="spellStart"/>
      <w:r w:rsidRPr="00BA5CCA">
        <w:rPr>
          <w:i/>
        </w:rPr>
        <w:t>cabling</w:t>
      </w:r>
      <w:proofErr w:type="spellEnd"/>
      <w:r w:rsidRPr="00BA5CCA">
        <w:rPr>
          <w:i/>
        </w:rPr>
        <w:t xml:space="preserve"> </w:t>
      </w:r>
      <w:proofErr w:type="spellStart"/>
      <w:r w:rsidRPr="00BA5CCA">
        <w:rPr>
          <w:i/>
        </w:rPr>
        <w:t>systems</w:t>
      </w:r>
      <w:proofErr w:type="spellEnd"/>
    </w:p>
    <w:p w:rsidR="009052A5" w:rsidRDefault="009052A5" w:rsidP="009052A5">
      <w:r>
        <w:t>Rozvod pro správu objektu</w:t>
      </w:r>
    </w:p>
    <w:p w:rsidR="009052A5" w:rsidRPr="0077248A" w:rsidRDefault="009052A5" w:rsidP="009052A5">
      <w:r>
        <w:t>Rozvod v jednotlivých uživatelských prostorech</w:t>
      </w:r>
    </w:p>
    <w:p w:rsidR="009052A5" w:rsidRPr="00F871EC" w:rsidRDefault="009052A5" w:rsidP="009052A5">
      <w:pPr>
        <w:pStyle w:val="Nadpis2"/>
        <w:numPr>
          <w:ilvl w:val="0"/>
          <w:numId w:val="12"/>
        </w:numPr>
      </w:pPr>
      <w:bookmarkStart w:id="39" w:name="_Toc473093938"/>
      <w:r w:rsidRPr="00F871EC">
        <w:t>Soulad s platnými legislativními předpisy, českými technickými normami a technickými podmínkami výrobce</w:t>
      </w:r>
      <w:bookmarkEnd w:id="39"/>
    </w:p>
    <w:p w:rsidR="009052A5" w:rsidRPr="002C5AA8" w:rsidRDefault="009052A5" w:rsidP="009052A5">
      <w:r w:rsidRPr="002C5AA8">
        <w:t xml:space="preserve">   Veškeré realizované rozvody a technologie (i v návaznosti na celou stavb</w:t>
      </w:r>
      <w:r>
        <w:t>u) musí být provedeny v souladu</w:t>
      </w:r>
      <w:r w:rsidRPr="002C5AA8">
        <w:t>:</w:t>
      </w:r>
    </w:p>
    <w:p w:rsidR="009052A5" w:rsidRPr="002C5AA8" w:rsidRDefault="009052A5" w:rsidP="009052A5">
      <w:r w:rsidRPr="002C5AA8">
        <w:t>S obecně závaznými zákonnými i podzákonnými právními předpisy, které jsou platné v době realizace stavby.</w:t>
      </w:r>
    </w:p>
    <w:p w:rsidR="009052A5" w:rsidRPr="002C5AA8" w:rsidRDefault="009052A5" w:rsidP="009052A5">
      <w:r w:rsidRPr="002C5AA8">
        <w:t>S předmětnými platnými českými technickými normami (není-li v technické zprávě uvedeno jinak), které se vztahují:</w:t>
      </w:r>
    </w:p>
    <w:p w:rsidR="009052A5" w:rsidRPr="002C5AA8" w:rsidRDefault="009052A5" w:rsidP="009052A5">
      <w:r w:rsidRPr="002C5AA8">
        <w:t>Na realizované rozvody a technologie i jejich jednotlivé části a díly.</w:t>
      </w:r>
    </w:p>
    <w:p w:rsidR="009052A5" w:rsidRPr="002C5AA8" w:rsidRDefault="009052A5" w:rsidP="009052A5">
      <w:r w:rsidRPr="002C5AA8">
        <w:t>V návaznosti slaboproudých rozvodů a technologií na celé stavební dílo</w:t>
      </w:r>
    </w:p>
    <w:p w:rsidR="009052A5" w:rsidRPr="002C5AA8" w:rsidRDefault="009052A5" w:rsidP="009052A5">
      <w:r w:rsidRPr="002C5AA8">
        <w:t>S požadavky a podmínkami vnitřních předpisů jednotlivých provozovatelů a správců předmětných slaboproudých rozvodů či sítí elektronických komunikací (jsou-li tito provozovatelé a správci sítí níže v technické zprávě uvedeni)</w:t>
      </w:r>
    </w:p>
    <w:p w:rsidR="009052A5" w:rsidRPr="002C5AA8" w:rsidRDefault="009052A5" w:rsidP="009052A5">
      <w:r w:rsidRPr="002C5AA8">
        <w:t>S instalačními manuály, doporučeními výrobců i ostatními podklady od výrobce a technickými podmínkami použití použitých materiálů, zařízení a technologií</w:t>
      </w:r>
    </w:p>
    <w:p w:rsidR="009052A5" w:rsidRPr="002C5AA8" w:rsidRDefault="009052A5" w:rsidP="009052A5">
      <w:r w:rsidRPr="002C5AA8">
        <w:t xml:space="preserve">                              </w:t>
      </w:r>
    </w:p>
    <w:p w:rsidR="009052A5" w:rsidRPr="002C5AA8" w:rsidRDefault="009052A5" w:rsidP="009052A5">
      <w:r w:rsidRPr="002C5AA8">
        <w:t xml:space="preserve">   Rovněž veškeré pracovní postupy při stavbě slaboproudých rozvodů a technologií musí být prováděny v souladu se všemi obecně závaznými zákonnými i podzákonnými právními předpisy, které jsou platné v době provádění stavby.</w:t>
      </w:r>
    </w:p>
    <w:p w:rsidR="009052A5" w:rsidRDefault="009052A5" w:rsidP="009052A5"/>
    <w:p w:rsidR="009052A5" w:rsidRDefault="009052A5" w:rsidP="009052A5">
      <w:r>
        <w:t xml:space="preserve">  Ad A) Pro návrh výše uvedených slaboproudých rozvodů bylo využito zejména těchto závazných právních předpisů:</w:t>
      </w:r>
    </w:p>
    <w:p w:rsidR="009052A5" w:rsidRPr="00790DC4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790DC4">
        <w:rPr>
          <w:b/>
          <w:iCs/>
        </w:rPr>
        <w:t>Zákon č. 350/2012 Sb</w:t>
      </w:r>
      <w:r w:rsidRPr="00790DC4">
        <w:rPr>
          <w:i/>
          <w:iCs/>
          <w:color w:val="953735"/>
        </w:rPr>
        <w:t xml:space="preserve">. </w:t>
      </w:r>
      <w:r w:rsidRPr="00790DC4">
        <w:t>kterým se mění zákon č. 183/2006 Sb., o územním plánování a stavebním řádu (stavební zákon), ve znění pozdějších předpisů, a některé související zákony.</w:t>
      </w:r>
      <w:r w:rsidRPr="00790DC4">
        <w:rPr>
          <w:i/>
          <w:iCs/>
          <w:color w:val="953735"/>
        </w:rPr>
        <w:t xml:space="preserve"> 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790DC4">
        <w:rPr>
          <w:b/>
        </w:rPr>
        <w:t>Vyhláška 268/2009 Sb</w:t>
      </w:r>
      <w:r>
        <w:t>. o technických požadavcích na stavby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>
        <w:rPr>
          <w:b/>
        </w:rPr>
        <w:t>Vyhláška 20/2012</w:t>
      </w:r>
      <w:r w:rsidRPr="00F00026">
        <w:rPr>
          <w:b/>
        </w:rPr>
        <w:t xml:space="preserve"> Sb</w:t>
      </w:r>
      <w:r>
        <w:t>. kterou se mění vyhláška 268/2009Sb o technických požadavcích na stavby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F00026">
        <w:rPr>
          <w:b/>
        </w:rPr>
        <w:t>Vyhláška č. 499/2006 Sb</w:t>
      </w:r>
      <w:r w:rsidRPr="00AB6B53">
        <w:t>. o dokumentaci staveb</w:t>
      </w:r>
    </w:p>
    <w:p w:rsidR="009052A5" w:rsidRPr="00C724D4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F00026">
        <w:rPr>
          <w:b/>
        </w:rPr>
        <w:t>Vyhláška č. 398/2009 Sb</w:t>
      </w:r>
      <w:r w:rsidRPr="00AB6B53">
        <w:t>. o obecných technických požadavcích zabezpečujících bezbariérové užívání staveb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C724D4">
        <w:rPr>
          <w:b/>
        </w:rPr>
        <w:t>Zákon č. 22/1997 Sb.</w:t>
      </w:r>
      <w:r>
        <w:t xml:space="preserve"> o technických požadavcích na výrobky a o změně a doplnění některých zákonů se změnami: 71/2000 Sb., 102/2001 Sb., 205/2002 Sb., 226/2003 Sb., 277/2003 Sb., 229/2006 Sb., 186/2006 Sb., 481/2008 Sb., 490/2009 Sb., 155/2010 Sb.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C724D4">
        <w:rPr>
          <w:b/>
        </w:rPr>
        <w:t>Nařízení č. 163/2002 Sb.</w:t>
      </w:r>
      <w:r>
        <w:t xml:space="preserve"> kterým se stanoví technické požadavky na vybrané stavební výrobky se změnami: 312/2005 </w:t>
      </w:r>
      <w:proofErr w:type="spellStart"/>
      <w:r>
        <w:t>Sb</w:t>
      </w:r>
      <w:proofErr w:type="spellEnd"/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C724D4">
        <w:rPr>
          <w:b/>
        </w:rPr>
        <w:t>Nařízení č. 190/2002 Sb.</w:t>
      </w:r>
      <w:r>
        <w:t xml:space="preserve"> kterým se stanoví technické požadavky na stavební výrobky označované CE se změnami: 251/2003 Sb., 128/2004 Sb.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F00026">
        <w:rPr>
          <w:b/>
        </w:rPr>
        <w:t>Vyhláška č. 23/2008 Sb</w:t>
      </w:r>
      <w:r w:rsidRPr="00AB6B53">
        <w:t>., o technických podmínkách požární ochrany staveb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>
        <w:rPr>
          <w:b/>
        </w:rPr>
        <w:t xml:space="preserve">Vyhláška </w:t>
      </w:r>
      <w:r w:rsidRPr="00986A6D">
        <w:rPr>
          <w:b/>
        </w:rPr>
        <w:t>č. 268</w:t>
      </w:r>
      <w:r>
        <w:rPr>
          <w:b/>
        </w:rPr>
        <w:t>/2011 Sb</w:t>
      </w:r>
      <w:r>
        <w:t xml:space="preserve">., </w:t>
      </w:r>
      <w:r w:rsidRPr="00986A6D">
        <w:t>kterou se mění vyhláška č. 23/2008 Sb., o technických podmínkách požární ochrany staveb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F00026">
        <w:rPr>
          <w:b/>
        </w:rPr>
        <w:lastRenderedPageBreak/>
        <w:t>Vyhláška č. 246/2001 Sb</w:t>
      </w:r>
      <w:r w:rsidRPr="00AB6B53">
        <w:t>. o stanovení podmínek požární bezpečnosti a výkonu státního požárního dozoru (vyhláška o požární prevenci)</w:t>
      </w:r>
      <w:r>
        <w:t xml:space="preserve"> 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352C8C">
        <w:rPr>
          <w:b/>
        </w:rPr>
        <w:t>Vyhláška 221/2014 Sb.,</w:t>
      </w:r>
      <w:r w:rsidRPr="00352C8C">
        <w:t xml:space="preserve"> kterou se mění vyhláška č. 246/2001 Sb., o stanovení podmínek požární bezpečnosti a výkonu státního požárního dozoru (vyhláška o požární prevenci)</w:t>
      </w:r>
    </w:p>
    <w:p w:rsidR="009052A5" w:rsidRPr="00C144ED" w:rsidRDefault="009052A5" w:rsidP="009052A5">
      <w:pPr>
        <w:pStyle w:val="Odstavecseseznamem"/>
        <w:rPr>
          <w:b/>
          <w:iCs/>
        </w:rPr>
      </w:pPr>
    </w:p>
    <w:p w:rsidR="009052A5" w:rsidRDefault="009052A5" w:rsidP="009052A5">
      <w:r>
        <w:t xml:space="preserve">  Ad B) Pro návrh výše uvedených slaboproudých rozvodů bylo nad rámec vyspecifikovaných norem uvedených v odstavci výše </w:t>
      </w:r>
      <w:r>
        <w:rPr>
          <w:i/>
        </w:rPr>
        <w:t>„Rozsah slaboproudých rozvodů“</w:t>
      </w:r>
      <w:r>
        <w:t xml:space="preserve"> využito zejména těchto technických norem:</w:t>
      </w:r>
    </w:p>
    <w:p w:rsidR="009052A5" w:rsidRDefault="009052A5" w:rsidP="009052A5">
      <w:pPr>
        <w:rPr>
          <w:i/>
        </w:rPr>
      </w:pPr>
    </w:p>
    <w:p w:rsidR="009052A5" w:rsidRDefault="009052A5" w:rsidP="009052A5">
      <w:pPr>
        <w:rPr>
          <w:i/>
        </w:rPr>
      </w:pPr>
      <w:r w:rsidRPr="00773271">
        <w:rPr>
          <w:i/>
        </w:rPr>
        <w:t xml:space="preserve">Poznámka: </w:t>
      </w:r>
      <w:r>
        <w:rPr>
          <w:i/>
        </w:rPr>
        <w:t>Níže u</w:t>
      </w:r>
      <w:r w:rsidRPr="00773271">
        <w:rPr>
          <w:i/>
        </w:rPr>
        <w:t xml:space="preserve">vedené normy se předpokládají v aktuálním znění nejnovější </w:t>
      </w:r>
      <w:r>
        <w:rPr>
          <w:i/>
        </w:rPr>
        <w:t xml:space="preserve">vydané </w:t>
      </w:r>
      <w:r w:rsidRPr="00773271">
        <w:rPr>
          <w:i/>
        </w:rPr>
        <w:t xml:space="preserve">edice a </w:t>
      </w:r>
      <w:r>
        <w:rPr>
          <w:i/>
        </w:rPr>
        <w:t xml:space="preserve">všech </w:t>
      </w:r>
      <w:r w:rsidRPr="00773271">
        <w:rPr>
          <w:i/>
        </w:rPr>
        <w:t>změnových</w:t>
      </w:r>
      <w:r>
        <w:rPr>
          <w:i/>
        </w:rPr>
        <w:t xml:space="preserve"> či doplňujících aktuálně platných úprav</w:t>
      </w:r>
      <w:r w:rsidRPr="00773271">
        <w:rPr>
          <w:i/>
        </w:rPr>
        <w:t xml:space="preserve">. </w:t>
      </w:r>
      <w:r>
        <w:rPr>
          <w:i/>
        </w:rPr>
        <w:t xml:space="preserve">Pokud je </w:t>
      </w:r>
      <w:proofErr w:type="gramStart"/>
      <w:r>
        <w:rPr>
          <w:i/>
        </w:rPr>
        <w:t>dočasně  v souběhu</w:t>
      </w:r>
      <w:proofErr w:type="gramEnd"/>
      <w:r>
        <w:rPr>
          <w:i/>
        </w:rPr>
        <w:t xml:space="preserve"> platnost nižší a vyšší edice normy stejného označení, pak pro tuto projektovou dokumentaci platí níže uvedené normy vždy ve znění novější edice vyššího pořadového čísla (edice). </w:t>
      </w:r>
    </w:p>
    <w:p w:rsidR="009052A5" w:rsidRPr="00F25DB3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F25DB3">
        <w:rPr>
          <w:b/>
        </w:rPr>
        <w:t>ČSN 342300:</w:t>
      </w:r>
      <w:r>
        <w:t xml:space="preserve"> Předpisy pro vnitřní rozvody vedení elektronických komunikací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F25DB3">
        <w:rPr>
          <w:b/>
        </w:rPr>
        <w:t xml:space="preserve">Soubor norem třídy ČSN 332000-4: </w:t>
      </w:r>
      <w:r w:rsidRPr="00A027EA">
        <w:t>Elektrotechnické předpisy. Elektrická zařízení. Část 4: Bezpečnost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A027EA">
        <w:rPr>
          <w:b/>
        </w:rPr>
        <w:t>Soubor norem třídy ČSN 332000-5</w:t>
      </w:r>
      <w:r>
        <w:t xml:space="preserve">: Elektrické instalace budov - Část 5: Výběr a stavba elektrických zařízení 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A027EA">
        <w:rPr>
          <w:b/>
        </w:rPr>
        <w:t>Soubor norem ČSN 33 2000-6:</w:t>
      </w:r>
      <w:r w:rsidRPr="00495982">
        <w:t xml:space="preserve"> Elektrické instalace nízkého napětí - Část 6: Revize</w:t>
      </w:r>
      <w:r>
        <w:t xml:space="preserve"> a </w:t>
      </w:r>
      <w:r w:rsidRPr="00A027EA">
        <w:rPr>
          <w:b/>
        </w:rPr>
        <w:t xml:space="preserve">ČSN 331500 – </w:t>
      </w:r>
      <w:r>
        <w:t>revize elektrických zařízení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A027EA">
        <w:rPr>
          <w:b/>
        </w:rPr>
        <w:t xml:space="preserve">Soubor norem třídy 332000-7: </w:t>
      </w:r>
      <w:r w:rsidRPr="00A027EA">
        <w:t xml:space="preserve">Elektrické instalace budov - Část 7: Zařízení jednoúčelová a ve zvláštních objektech 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A027EA">
        <w:rPr>
          <w:b/>
        </w:rPr>
        <w:t>Soubor norem ČSN EN 50370:</w:t>
      </w:r>
      <w:r w:rsidRPr="00E34A7E">
        <w:t xml:space="preserve"> Elektromagnetická kompatibilita (EMC)  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E34A7E">
        <w:rPr>
          <w:b/>
        </w:rPr>
        <w:t>ČSN 73 0848:</w:t>
      </w:r>
      <w:r w:rsidRPr="00E34A7E">
        <w:t xml:space="preserve"> Požární bezpečnost staveb - Kabelové rozvody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>
        <w:t xml:space="preserve">Soubor ostatních norem třídy </w:t>
      </w:r>
      <w:r w:rsidRPr="00E34A7E">
        <w:rPr>
          <w:b/>
        </w:rPr>
        <w:t>ČSN 7308xx</w:t>
      </w:r>
      <w:r>
        <w:t>: Požární bezpečnost staveb</w:t>
      </w:r>
    </w:p>
    <w:p w:rsidR="009052A5" w:rsidRDefault="009052A5" w:rsidP="009052A5">
      <w:pPr>
        <w:pStyle w:val="Odstavecseseznamem"/>
        <w:numPr>
          <w:ilvl w:val="0"/>
          <w:numId w:val="11"/>
        </w:numPr>
        <w:contextualSpacing/>
        <w:jc w:val="both"/>
      </w:pPr>
      <w:r w:rsidRPr="00991AB6">
        <w:rPr>
          <w:b/>
        </w:rPr>
        <w:t xml:space="preserve">Soubor norem </w:t>
      </w:r>
      <w:r w:rsidRPr="00627018">
        <w:rPr>
          <w:b/>
        </w:rPr>
        <w:t>ČSN EN 61386</w:t>
      </w:r>
      <w:r>
        <w:t xml:space="preserve"> – Trubkové systémy pro vedení kabelů</w:t>
      </w:r>
    </w:p>
    <w:p w:rsidR="009052A5" w:rsidRPr="00F871EC" w:rsidRDefault="009052A5" w:rsidP="009052A5">
      <w:pPr>
        <w:pStyle w:val="Nadpis1"/>
      </w:pPr>
      <w:r w:rsidRPr="00F871EC">
        <w:t xml:space="preserve">   </w:t>
      </w:r>
      <w:bookmarkStart w:id="40" w:name="_Toc287118475"/>
      <w:bookmarkStart w:id="41" w:name="_Toc287118856"/>
      <w:bookmarkStart w:id="42" w:name="_Toc287119172"/>
      <w:bookmarkStart w:id="43" w:name="_Toc287127209"/>
      <w:bookmarkStart w:id="44" w:name="_Toc296454934"/>
      <w:bookmarkStart w:id="45" w:name="_Toc473093939"/>
      <w:bookmarkStart w:id="46" w:name="OLE_LINK1"/>
      <w:r w:rsidRPr="00F871EC">
        <w:t>Ochrana před úrazem elektrickým proudem:</w:t>
      </w:r>
      <w:bookmarkEnd w:id="40"/>
      <w:bookmarkEnd w:id="41"/>
      <w:bookmarkEnd w:id="42"/>
      <w:bookmarkEnd w:id="43"/>
      <w:bookmarkEnd w:id="44"/>
      <w:bookmarkEnd w:id="45"/>
    </w:p>
    <w:p w:rsidR="009052A5" w:rsidRPr="00F871EC" w:rsidRDefault="009052A5" w:rsidP="009052A5">
      <w:pPr>
        <w:pStyle w:val="Nadpis2"/>
        <w:numPr>
          <w:ilvl w:val="0"/>
          <w:numId w:val="12"/>
        </w:numPr>
      </w:pPr>
      <w:bookmarkStart w:id="47" w:name="_Toc287118476"/>
      <w:bookmarkStart w:id="48" w:name="_Toc287118857"/>
      <w:bookmarkStart w:id="49" w:name="_Toc287119173"/>
      <w:bookmarkStart w:id="50" w:name="_Toc287127210"/>
      <w:bookmarkStart w:id="51" w:name="_Toc296454935"/>
      <w:bookmarkStart w:id="52" w:name="_Toc473093940"/>
      <w:r w:rsidRPr="00F871EC">
        <w:t>Slaboproudé rozvody a zařízení oddělené od rozvodu NN:</w:t>
      </w:r>
      <w:bookmarkEnd w:id="47"/>
      <w:bookmarkEnd w:id="48"/>
      <w:bookmarkEnd w:id="49"/>
      <w:bookmarkEnd w:id="50"/>
      <w:bookmarkEnd w:id="51"/>
      <w:bookmarkEnd w:id="52"/>
    </w:p>
    <w:p w:rsidR="009052A5" w:rsidRPr="00F871EC" w:rsidRDefault="009052A5" w:rsidP="009052A5">
      <w:r w:rsidRPr="00F871EC">
        <w:t xml:space="preserve">   Ochrana před nebezpečným dotykem živých i neživých částí je dle ČN 33 2000-4-41 provedena malým napětím SELV nebo PELV.</w:t>
      </w:r>
    </w:p>
    <w:p w:rsidR="009052A5" w:rsidRPr="00F871EC" w:rsidRDefault="009052A5" w:rsidP="009052A5">
      <w:r w:rsidRPr="00F871EC">
        <w:t xml:space="preserve">   </w:t>
      </w:r>
      <w:bookmarkStart w:id="53" w:name="_Toc287118477"/>
      <w:bookmarkStart w:id="54" w:name="_Toc287118858"/>
      <w:bookmarkStart w:id="55" w:name="_Toc287119174"/>
      <w:bookmarkStart w:id="56" w:name="_Toc287127211"/>
      <w:bookmarkStart w:id="57" w:name="_Toc296454936"/>
      <w:bookmarkStart w:id="58" w:name="_Toc473093941"/>
      <w:r w:rsidRPr="00F871EC">
        <w:t>Zařízení slaboproudých rozvodů napájených z rozvodů NN:</w:t>
      </w:r>
      <w:bookmarkEnd w:id="53"/>
      <w:bookmarkEnd w:id="54"/>
      <w:bookmarkEnd w:id="55"/>
      <w:bookmarkEnd w:id="56"/>
      <w:bookmarkEnd w:id="57"/>
      <w:bookmarkEnd w:id="58"/>
    </w:p>
    <w:p w:rsidR="009052A5" w:rsidRPr="00F871EC" w:rsidRDefault="009052A5" w:rsidP="009052A5">
      <w:r w:rsidRPr="00F871EC">
        <w:t xml:space="preserve">   Ochrana před nebezpečným dotykem živých částí je dle ČN 33 2000-4-41 provedena izolací, případně doplňkovou ochranou proudovým chráničem (řeší projektová dokumentace rozvodu NN).</w:t>
      </w:r>
    </w:p>
    <w:p w:rsidR="009052A5" w:rsidRPr="00F871EC" w:rsidRDefault="009052A5" w:rsidP="009052A5">
      <w:r w:rsidRPr="00F871EC">
        <w:t xml:space="preserve">   Ochrana před nebezpečným dotykem neživých částí je dle ČN 33 2000-4-41 provedena </w:t>
      </w:r>
      <w:r>
        <w:t>automatickým</w:t>
      </w:r>
      <w:r w:rsidRPr="00F871EC">
        <w:t xml:space="preserve"> odpojením od zdroje (v návaznosti na typ sítě rozvodu NN, řeší projektová dokumentace rozvodu NN)</w:t>
      </w:r>
    </w:p>
    <w:p w:rsidR="009052A5" w:rsidRPr="00F871EC" w:rsidRDefault="009052A5" w:rsidP="009052A5">
      <w:pPr>
        <w:pStyle w:val="Nadpis2"/>
      </w:pPr>
      <w:r w:rsidRPr="00F871EC">
        <w:t xml:space="preserve">   </w:t>
      </w:r>
      <w:bookmarkStart w:id="59" w:name="_Toc287118478"/>
      <w:bookmarkStart w:id="60" w:name="_Toc287118859"/>
      <w:bookmarkStart w:id="61" w:name="_Toc287119175"/>
      <w:bookmarkStart w:id="62" w:name="_Toc287127212"/>
      <w:bookmarkStart w:id="63" w:name="_Toc296454937"/>
      <w:bookmarkStart w:id="64" w:name="_Toc473093942"/>
      <w:proofErr w:type="gramStart"/>
      <w:r>
        <w:t>4.</w:t>
      </w:r>
      <w:r w:rsidRPr="00F871EC">
        <w:t>Působení</w:t>
      </w:r>
      <w:proofErr w:type="gramEnd"/>
      <w:r w:rsidRPr="00F871EC">
        <w:t xml:space="preserve"> vnějších vlivů</w:t>
      </w:r>
      <w:bookmarkEnd w:id="59"/>
      <w:bookmarkEnd w:id="60"/>
      <w:bookmarkEnd w:id="61"/>
      <w:bookmarkEnd w:id="62"/>
      <w:bookmarkEnd w:id="63"/>
      <w:bookmarkEnd w:id="64"/>
    </w:p>
    <w:bookmarkEnd w:id="46"/>
    <w:p w:rsidR="009052A5" w:rsidRDefault="009052A5" w:rsidP="009052A5">
      <w:r w:rsidRPr="00F871EC">
        <w:t xml:space="preserve">   V závislosti na členění prostor z hlediska nebezpečí úrazu elektrickým proudem (dle ČSN 33 20 00-4-41) a z hlediska působení vnějších vlivů (</w:t>
      </w:r>
      <w:r>
        <w:t>dle</w:t>
      </w:r>
      <w:r w:rsidRPr="00F871EC">
        <w:t xml:space="preserve"> ČSN 33 20 00-5-51) </w:t>
      </w:r>
      <w:r w:rsidRPr="00F871EC">
        <w:rPr>
          <w:color w:val="000000"/>
        </w:rPr>
        <w:t>určených komisí v „Protokolu o ur</w:t>
      </w:r>
      <w:r>
        <w:rPr>
          <w:color w:val="000000"/>
        </w:rPr>
        <w:t>čení vnějších vlivů</w:t>
      </w:r>
      <w:r w:rsidRPr="00F871EC">
        <w:rPr>
          <w:color w:val="000000"/>
        </w:rPr>
        <w:t xml:space="preserve"> není u slaboproudých rozvodů a zařízení vyproje</w:t>
      </w:r>
      <w:r w:rsidRPr="00F871EC">
        <w:t>ktovaného rozsahu nutná úprava krytí (doplňkovými moduly či typovými prvky) nebo zapojení (dalších ochranných obvodů či zařízení) ani není nutné použít speciálních zařízení či technologií.</w:t>
      </w:r>
    </w:p>
    <w:p w:rsidR="009052A5" w:rsidRDefault="009052A5" w:rsidP="009052A5"/>
    <w:p w:rsidR="009052A5" w:rsidRDefault="009052A5" w:rsidP="009052A5">
      <w:r>
        <w:t xml:space="preserve">  </w:t>
      </w:r>
      <w:proofErr w:type="spellStart"/>
      <w:r>
        <w:t>Vyjímku</w:t>
      </w:r>
      <w:proofErr w:type="spellEnd"/>
      <w:r>
        <w:t xml:space="preserve"> tvoří komponenty instalované ve venkovním prostředí na fasádě objektu:</w:t>
      </w:r>
    </w:p>
    <w:p w:rsidR="009052A5" w:rsidRDefault="009052A5" w:rsidP="009052A5">
      <w:r>
        <w:t>Stanovené prostředí: AD4 tryskající voda</w:t>
      </w:r>
    </w:p>
    <w:p w:rsidR="009052A5" w:rsidRDefault="009052A5" w:rsidP="009052A5">
      <w:r>
        <w:t>Požadavek na osazené komponenty: Minimální krytí IP54</w:t>
      </w:r>
    </w:p>
    <w:p w:rsidR="009052A5" w:rsidRDefault="009052A5" w:rsidP="009052A5">
      <w:r>
        <w:t>Osazené komponenty: Tlačítkové tablo rozvodu dveřního telefonu, kamery uzavřeného televizního okruhu</w:t>
      </w:r>
    </w:p>
    <w:p w:rsidR="009052A5" w:rsidRPr="001B4821" w:rsidRDefault="009052A5" w:rsidP="009052A5">
      <w:pPr>
        <w:pStyle w:val="Nadpis2"/>
      </w:pPr>
      <w:r>
        <w:lastRenderedPageBreak/>
        <w:t xml:space="preserve">   </w:t>
      </w:r>
      <w:bookmarkStart w:id="65" w:name="_Toc473093943"/>
      <w:proofErr w:type="gramStart"/>
      <w:r>
        <w:t>5.</w:t>
      </w:r>
      <w:r>
        <w:t>Příprava</w:t>
      </w:r>
      <w:proofErr w:type="gramEnd"/>
      <w:r>
        <w:t xml:space="preserve"> kabelových tras</w:t>
      </w:r>
      <w:bookmarkEnd w:id="65"/>
    </w:p>
    <w:p w:rsidR="009052A5" w:rsidRDefault="009052A5" w:rsidP="009052A5">
      <w:pPr>
        <w:pStyle w:val="Nadpis1"/>
      </w:pPr>
      <w:r>
        <w:t xml:space="preserve">   </w:t>
      </w:r>
      <w:bookmarkStart w:id="66" w:name="_Toc294194949"/>
      <w:bookmarkStart w:id="67" w:name="_Toc309655572"/>
      <w:bookmarkStart w:id="68" w:name="_Toc459016008"/>
      <w:bookmarkStart w:id="69" w:name="_Toc473093944"/>
      <w:r>
        <w:t>Vstup zemních kabelů</w:t>
      </w:r>
      <w:bookmarkEnd w:id="66"/>
      <w:bookmarkEnd w:id="67"/>
      <w:bookmarkEnd w:id="68"/>
      <w:bookmarkEnd w:id="69"/>
    </w:p>
    <w:p w:rsidR="009052A5" w:rsidRDefault="009052A5" w:rsidP="009052A5">
      <w:r>
        <w:t xml:space="preserve">   Pro vstup zemních kabelů (přípojka sítí elektronických komunikací) je v 1.</w:t>
      </w:r>
      <w:r>
        <w:t>N</w:t>
      </w:r>
      <w:r>
        <w:t xml:space="preserve">P objektu vyprojektováno vyústění </w:t>
      </w:r>
      <w:r>
        <w:t>1</w:t>
      </w:r>
      <w:r>
        <w:t xml:space="preserve"> chrániček KOPOFLEX </w:t>
      </w:r>
      <w:proofErr w:type="spellStart"/>
      <w:r>
        <w:t>pr</w:t>
      </w:r>
      <w:proofErr w:type="spellEnd"/>
      <w:r>
        <w:t xml:space="preserve">. </w:t>
      </w:r>
      <w:r>
        <w:t>50</w:t>
      </w:r>
      <w:r>
        <w:t xml:space="preserve">mm Tyto jsou ve vyústěny v hloubce 0.7m pod povrchem až za zpevněnou plochou kolem objektu. </w:t>
      </w:r>
    </w:p>
    <w:p w:rsidR="009052A5" w:rsidRPr="002F02DE" w:rsidRDefault="009052A5" w:rsidP="009052A5"/>
    <w:p w:rsidR="009052A5" w:rsidRPr="00C32526" w:rsidRDefault="009052A5" w:rsidP="009052A5">
      <w:r w:rsidRPr="00C32526">
        <w:t xml:space="preserve">   Chráničky musí být uloženy v takové hloubce, aby byly splněny podmínky:</w:t>
      </w:r>
    </w:p>
    <w:p w:rsidR="009052A5" w:rsidRPr="00C32526" w:rsidRDefault="009052A5" w:rsidP="009052A5">
      <w:r w:rsidRPr="00C32526">
        <w:t xml:space="preserve">trasa chrániček musí být dle možností co nejvíce přímá, stranově i výškově </w:t>
      </w:r>
    </w:p>
    <w:p w:rsidR="009052A5" w:rsidRPr="00C32526" w:rsidRDefault="009052A5" w:rsidP="009052A5">
      <w:r w:rsidRPr="00C32526">
        <w:t>minimální poloměr ohybu chrániček (výškový či stranový musí být 1.5m</w:t>
      </w:r>
      <w:r>
        <w:t>)</w:t>
      </w:r>
    </w:p>
    <w:p w:rsidR="009052A5" w:rsidRPr="00C32526" w:rsidRDefault="009052A5" w:rsidP="009052A5">
      <w:r w:rsidRPr="00C32526">
        <w:t>minimální krytí za vyústěním do terénu musí být 0.4m</w:t>
      </w:r>
    </w:p>
    <w:p w:rsidR="009052A5" w:rsidRPr="00C32526" w:rsidRDefault="009052A5" w:rsidP="009052A5">
      <w:r w:rsidRPr="00C32526">
        <w:t>v případě, že v místě vyústění chrániček navazuje těsně k objektu zpevněná plocha, musí být vyústění chrániček řešeno s přesahem 0.5m až za hranici zpevněné plochy (vždy do volného terénu nebo chodníku)</w:t>
      </w:r>
    </w:p>
    <w:p w:rsidR="009052A5" w:rsidRPr="00C32526" w:rsidRDefault="009052A5" w:rsidP="009052A5">
      <w:r w:rsidRPr="00C32526">
        <w:t>zaústění chrániček musí přímo a přesně navazovat do kabe</w:t>
      </w:r>
      <w:r>
        <w:t xml:space="preserve">lových žlabů MARS pod stropem </w:t>
      </w:r>
      <w:r w:rsidR="005102D6">
        <w:t>1</w:t>
      </w:r>
      <w:r w:rsidRPr="00C32526">
        <w:t>.</w:t>
      </w:r>
      <w:r>
        <w:t>N</w:t>
      </w:r>
      <w:r w:rsidRPr="00C32526">
        <w:t>P</w:t>
      </w:r>
      <w:r w:rsidR="005102D6">
        <w:t>.</w:t>
      </w:r>
    </w:p>
    <w:p w:rsidR="009052A5" w:rsidRPr="00C32526" w:rsidRDefault="009052A5" w:rsidP="009052A5"/>
    <w:p w:rsidR="009052A5" w:rsidRPr="0048510E" w:rsidRDefault="009052A5" w:rsidP="009052A5">
      <w:pPr>
        <w:rPr>
          <w:b/>
        </w:rPr>
      </w:pPr>
      <w:r w:rsidRPr="00C32526">
        <w:rPr>
          <w:b/>
        </w:rPr>
        <w:t xml:space="preserve">   Konce chrániček musí být tlakově zatěsněny proti vnikání zemní vlhkosti do objektu</w:t>
      </w:r>
    </w:p>
    <w:p w:rsidR="009052A5" w:rsidRDefault="009052A5" w:rsidP="005102D6">
      <w:pPr>
        <w:pStyle w:val="Nadpis2"/>
      </w:pPr>
      <w:r>
        <w:t xml:space="preserve">  </w:t>
      </w:r>
      <w:bookmarkStart w:id="70" w:name="_Toc294194950"/>
      <w:bookmarkStart w:id="71" w:name="_Toc309655573"/>
      <w:bookmarkStart w:id="72" w:name="_Toc459016009"/>
      <w:bookmarkStart w:id="73" w:name="_Toc473093945"/>
      <w:r w:rsidR="005102D6">
        <w:t xml:space="preserve">6. </w:t>
      </w:r>
      <w:r>
        <w:t xml:space="preserve">Místnosti a prostory vyhrazené pro instalací slaboproudých </w:t>
      </w:r>
      <w:bookmarkEnd w:id="70"/>
      <w:bookmarkEnd w:id="71"/>
      <w:bookmarkEnd w:id="72"/>
      <w:r>
        <w:t>technologií</w:t>
      </w:r>
      <w:bookmarkEnd w:id="73"/>
    </w:p>
    <w:p w:rsidR="009052A5" w:rsidRPr="005102D6" w:rsidRDefault="009052A5" w:rsidP="005102D6">
      <w:pPr>
        <w:rPr>
          <w:rStyle w:val="Siln"/>
          <w:b w:val="0"/>
        </w:rPr>
      </w:pPr>
      <w:r w:rsidRPr="005102D6">
        <w:rPr>
          <w:rStyle w:val="Siln"/>
          <w:b w:val="0"/>
        </w:rPr>
        <w:t xml:space="preserve">   Poloha místností a míst vyhrazených pro osazení technologie slaboproudých rozvodů je volena s ohledem na možnosti včlenění prostorových požadavků do dispozice.</w:t>
      </w:r>
    </w:p>
    <w:p w:rsidR="009052A5" w:rsidRDefault="009052A5" w:rsidP="005102D6">
      <w:pPr>
        <w:pStyle w:val="Nadpis2"/>
      </w:pPr>
      <w:r>
        <w:t xml:space="preserve">  </w:t>
      </w:r>
      <w:bookmarkStart w:id="74" w:name="_Toc294194951"/>
      <w:bookmarkStart w:id="75" w:name="_Toc309655574"/>
      <w:bookmarkStart w:id="76" w:name="_Toc459016010"/>
      <w:bookmarkStart w:id="77" w:name="_Toc473093946"/>
      <w:r w:rsidR="005102D6">
        <w:t xml:space="preserve">6.1 </w:t>
      </w:r>
      <w:r>
        <w:t>Místnost v 1.</w:t>
      </w:r>
      <w:bookmarkEnd w:id="74"/>
      <w:r>
        <w:t xml:space="preserve">NP č. </w:t>
      </w:r>
      <w:bookmarkEnd w:id="75"/>
      <w:bookmarkEnd w:id="76"/>
      <w:bookmarkEnd w:id="77"/>
      <w:r w:rsidR="005102D6">
        <w:t>Technická místnost</w:t>
      </w:r>
    </w:p>
    <w:p w:rsidR="009052A5" w:rsidRDefault="009052A5" w:rsidP="009052A5">
      <w:r>
        <w:t xml:space="preserve">   V  1.NP objektu je vyhrazena samostatná místnost č. 129 pro instalací technologie sítí elektronických komunikací místně působících provozovatelů, na které budou uživatelé objektu napojeni. </w:t>
      </w:r>
    </w:p>
    <w:p w:rsidR="009052A5" w:rsidRDefault="009052A5" w:rsidP="009052A5">
      <w:r>
        <w:t xml:space="preserve">   Místnost je prostorově dimenzována pro čtyři 19“ rozvaděče půdorysných rozměrů 600x600 a výšky 2000mm, tedy pro možnost napojení objektu na 4 provozovatele sítí elektronických komunikací.</w:t>
      </w:r>
    </w:p>
    <w:p w:rsidR="00EF4B50" w:rsidRDefault="00EF4B50" w:rsidP="003F619D">
      <w:pPr>
        <w:pStyle w:val="BBSnormal"/>
        <w:ind w:firstLine="567"/>
      </w:pPr>
    </w:p>
    <w:p w:rsidR="009052A5" w:rsidRDefault="009052A5" w:rsidP="003F619D">
      <w:pPr>
        <w:pStyle w:val="BBSnormal"/>
        <w:ind w:firstLine="567"/>
      </w:pPr>
    </w:p>
    <w:p w:rsidR="009052A5" w:rsidRDefault="009052A5" w:rsidP="003F619D">
      <w:pPr>
        <w:pStyle w:val="BBSnormal"/>
        <w:ind w:firstLine="567"/>
      </w:pPr>
    </w:p>
    <w:p w:rsidR="009052A5" w:rsidRDefault="009052A5" w:rsidP="003F619D">
      <w:pPr>
        <w:pStyle w:val="BBSnormal"/>
        <w:ind w:firstLine="567"/>
      </w:pPr>
    </w:p>
    <w:p w:rsidR="00032702" w:rsidRPr="00EF4B50" w:rsidRDefault="005102D6" w:rsidP="00032702">
      <w:pPr>
        <w:pStyle w:val="Nadpis1"/>
        <w:rPr>
          <w:rFonts w:cs="Arial"/>
          <w:b w:val="0"/>
          <w:szCs w:val="28"/>
        </w:rPr>
      </w:pPr>
      <w:bookmarkStart w:id="78" w:name="_Toc268811682"/>
      <w:bookmarkStart w:id="79" w:name="OLE_LINK17"/>
      <w:r>
        <w:rPr>
          <w:rStyle w:val="Nadpis1Char"/>
          <w:b/>
        </w:rPr>
        <w:t>7</w:t>
      </w:r>
      <w:r w:rsidR="00032702" w:rsidRPr="00EF4B50">
        <w:rPr>
          <w:rStyle w:val="Nadpis1Char"/>
          <w:b/>
        </w:rPr>
        <w:t xml:space="preserve">. Strukturovaná kabeláž </w:t>
      </w:r>
      <w:bookmarkEnd w:id="78"/>
    </w:p>
    <w:bookmarkEnd w:id="79"/>
    <w:p w:rsidR="00032702" w:rsidRDefault="00032702" w:rsidP="00032702">
      <w:pPr>
        <w:ind w:left="567" w:right="567"/>
      </w:pPr>
    </w:p>
    <w:p w:rsidR="00032702" w:rsidRPr="00463FB5" w:rsidRDefault="005102D6" w:rsidP="00032702">
      <w:pPr>
        <w:pStyle w:val="Nadpis2"/>
      </w:pPr>
      <w:bookmarkStart w:id="80" w:name="_Toc268811683"/>
      <w:bookmarkStart w:id="81" w:name="OLE_LINK18"/>
      <w:bookmarkStart w:id="82" w:name="OLE_LINK19"/>
      <w:r>
        <w:t>7</w:t>
      </w:r>
      <w:r w:rsidR="00032702">
        <w:t xml:space="preserve">.1. </w:t>
      </w:r>
      <w:r w:rsidR="00032702" w:rsidRPr="00463FB5">
        <w:t>Úvod</w:t>
      </w:r>
      <w:bookmarkEnd w:id="80"/>
    </w:p>
    <w:p w:rsidR="00032702" w:rsidRPr="00EC51C6" w:rsidRDefault="00032702" w:rsidP="00032702">
      <w:pPr>
        <w:pStyle w:val="Zkladntext"/>
        <w:tabs>
          <w:tab w:val="left" w:pos="567"/>
        </w:tabs>
        <w:ind w:right="567"/>
        <w:rPr>
          <w:rFonts w:cs="Arial"/>
          <w:szCs w:val="22"/>
        </w:rPr>
      </w:pPr>
      <w:r w:rsidRPr="00EC51C6">
        <w:rPr>
          <w:rFonts w:cs="Arial"/>
          <w:szCs w:val="22"/>
        </w:rPr>
        <w:t>V objektu bude instalován systém strukturované kabeláže, která umožní rozvod dat</w:t>
      </w:r>
      <w:r w:rsidR="009052A5">
        <w:rPr>
          <w:rFonts w:cs="Arial"/>
          <w:szCs w:val="22"/>
        </w:rPr>
        <w:t>ové a telefonní sítě po objektu</w:t>
      </w:r>
      <w:r w:rsidRPr="00EC51C6">
        <w:rPr>
          <w:rFonts w:cs="Arial"/>
          <w:szCs w:val="22"/>
        </w:rPr>
        <w:t xml:space="preserve">. </w:t>
      </w:r>
      <w:r w:rsidR="009052A5">
        <w:rPr>
          <w:rFonts w:cs="Arial"/>
          <w:szCs w:val="22"/>
        </w:rPr>
        <w:t xml:space="preserve"> Dále bude síť využita pro parkovací systém. Kabeláž pro parkovací systém je provedena ve standardu FTP </w:t>
      </w:r>
      <w:proofErr w:type="spellStart"/>
      <w:r w:rsidR="009052A5">
        <w:rPr>
          <w:rFonts w:cs="Arial"/>
          <w:szCs w:val="22"/>
        </w:rPr>
        <w:t>cat</w:t>
      </w:r>
      <w:proofErr w:type="spellEnd"/>
      <w:r w:rsidR="009052A5">
        <w:rPr>
          <w:rFonts w:cs="Arial"/>
          <w:szCs w:val="22"/>
        </w:rPr>
        <w:t xml:space="preserve"> 6. Koncové prvky parkovacího systému bude montovat odborná firma a toto není předmětem dodávky slaboproudu Ostatní strukturované </w:t>
      </w:r>
      <w:r w:rsidRPr="00EC51C6">
        <w:rPr>
          <w:rFonts w:cs="Arial"/>
          <w:szCs w:val="22"/>
        </w:rPr>
        <w:t xml:space="preserve"> kabeláže umožní připojení jednotlivých zařízení do společné </w:t>
      </w:r>
      <w:proofErr w:type="gramStart"/>
      <w:r w:rsidRPr="00EC51C6">
        <w:rPr>
          <w:rFonts w:cs="Arial"/>
          <w:szCs w:val="22"/>
        </w:rPr>
        <w:t>sítě jako</w:t>
      </w:r>
      <w:proofErr w:type="gramEnd"/>
      <w:r w:rsidRPr="00EC51C6">
        <w:rPr>
          <w:rFonts w:cs="Arial"/>
          <w:szCs w:val="22"/>
        </w:rPr>
        <w:t xml:space="preserve"> jsou PC, </w:t>
      </w:r>
      <w:r w:rsidR="009052A5">
        <w:rPr>
          <w:rFonts w:cs="Arial"/>
          <w:szCs w:val="22"/>
        </w:rPr>
        <w:t>CCTV</w:t>
      </w:r>
      <w:r w:rsidRPr="00EC51C6">
        <w:rPr>
          <w:rFonts w:cs="Arial"/>
          <w:szCs w:val="22"/>
        </w:rPr>
        <w:t xml:space="preserve">, tiskárny, telefony </w:t>
      </w:r>
      <w:proofErr w:type="spellStart"/>
      <w:r w:rsidRPr="00EC51C6">
        <w:rPr>
          <w:rFonts w:cs="Arial"/>
          <w:szCs w:val="22"/>
        </w:rPr>
        <w:t>atd</w:t>
      </w:r>
      <w:proofErr w:type="spellEnd"/>
    </w:p>
    <w:bookmarkEnd w:id="81"/>
    <w:bookmarkEnd w:id="82"/>
    <w:p w:rsidR="00032702" w:rsidRDefault="00032702" w:rsidP="00032702">
      <w:pPr>
        <w:ind w:left="567" w:right="567" w:firstLine="540"/>
      </w:pPr>
    </w:p>
    <w:p w:rsidR="00032702" w:rsidRPr="00A9207A" w:rsidRDefault="005102D6" w:rsidP="00032702">
      <w:pPr>
        <w:pStyle w:val="Nadpis2"/>
      </w:pPr>
      <w:bookmarkStart w:id="83" w:name="_Toc268811684"/>
      <w:r>
        <w:t>7</w:t>
      </w:r>
      <w:r w:rsidR="00032702">
        <w:t xml:space="preserve">.2. </w:t>
      </w:r>
      <w:r w:rsidR="00032702" w:rsidRPr="00463FB5">
        <w:t>Technické řešení</w:t>
      </w:r>
      <w:bookmarkEnd w:id="83"/>
    </w:p>
    <w:p w:rsidR="00032702" w:rsidRPr="00EC51C6" w:rsidRDefault="00032702" w:rsidP="00032702">
      <w:pPr>
        <w:shd w:val="clear" w:color="auto" w:fill="FEFEFE"/>
        <w:ind w:right="454"/>
        <w:outlineLvl w:val="0"/>
        <w:rPr>
          <w:rFonts w:cs="Arial"/>
          <w:bCs/>
          <w:color w:val="000000"/>
          <w:szCs w:val="22"/>
        </w:rPr>
      </w:pPr>
      <w:r w:rsidRPr="00EC51C6">
        <w:rPr>
          <w:rFonts w:cs="Arial"/>
          <w:bCs/>
          <w:color w:val="000000"/>
          <w:szCs w:val="22"/>
        </w:rPr>
        <w:t>Napojení nov</w:t>
      </w:r>
      <w:r>
        <w:rPr>
          <w:rFonts w:cs="Arial"/>
          <w:bCs/>
          <w:color w:val="000000"/>
          <w:szCs w:val="22"/>
        </w:rPr>
        <w:t xml:space="preserve">ého racku do </w:t>
      </w:r>
      <w:r w:rsidR="004B4411">
        <w:rPr>
          <w:rFonts w:cs="Arial"/>
          <w:bCs/>
          <w:color w:val="000000"/>
          <w:szCs w:val="22"/>
        </w:rPr>
        <w:t>technické místnosti</w:t>
      </w:r>
      <w:r w:rsidRPr="00EC51C6">
        <w:rPr>
          <w:rFonts w:cs="Arial"/>
          <w:bCs/>
          <w:color w:val="000000"/>
          <w:szCs w:val="22"/>
        </w:rPr>
        <w:t xml:space="preserve"> bude provedeno optickým kabelem </w:t>
      </w:r>
      <w:r>
        <w:rPr>
          <w:rFonts w:cs="Arial"/>
          <w:bCs/>
          <w:color w:val="000000"/>
          <w:szCs w:val="22"/>
        </w:rPr>
        <w:t>8 singl.</w:t>
      </w:r>
    </w:p>
    <w:p w:rsidR="00032702" w:rsidRPr="00EC51C6" w:rsidRDefault="00032702" w:rsidP="00032702">
      <w:pPr>
        <w:shd w:val="clear" w:color="auto" w:fill="FEFEFE"/>
        <w:ind w:right="454"/>
        <w:outlineLvl w:val="0"/>
        <w:rPr>
          <w:rFonts w:cs="Arial"/>
          <w:bCs/>
          <w:color w:val="000000"/>
          <w:kern w:val="36"/>
          <w:szCs w:val="22"/>
        </w:rPr>
      </w:pPr>
      <w:r w:rsidRPr="00EC51C6">
        <w:rPr>
          <w:rFonts w:cs="Arial"/>
          <w:bCs/>
          <w:color w:val="000000"/>
          <w:szCs w:val="22"/>
        </w:rPr>
        <w:t>Distribuované služby v budovách</w:t>
      </w:r>
    </w:p>
    <w:p w:rsidR="00032702" w:rsidRPr="00EC51C6" w:rsidRDefault="00032702" w:rsidP="00032702">
      <w:pPr>
        <w:pStyle w:val="Zkladntext"/>
        <w:ind w:right="567"/>
        <w:rPr>
          <w:rFonts w:cs="Arial"/>
          <w:szCs w:val="22"/>
        </w:rPr>
      </w:pPr>
      <w:r w:rsidRPr="00EC51C6">
        <w:rPr>
          <w:rFonts w:cs="Arial"/>
          <w:szCs w:val="22"/>
        </w:rPr>
        <w:t xml:space="preserve">V objektu bude instalován datový rozvaděče </w:t>
      </w:r>
      <w:r>
        <w:rPr>
          <w:rFonts w:cs="Arial"/>
          <w:szCs w:val="22"/>
        </w:rPr>
        <w:t>600/600 2</w:t>
      </w:r>
      <w:r w:rsidR="009052A5">
        <w:rPr>
          <w:rFonts w:cs="Arial"/>
          <w:szCs w:val="22"/>
        </w:rPr>
        <w:t>2</w:t>
      </w:r>
      <w:r>
        <w:rPr>
          <w:rFonts w:cs="Arial"/>
          <w:szCs w:val="22"/>
        </w:rPr>
        <w:t>U</w:t>
      </w:r>
      <w:r w:rsidRPr="00EC51C6">
        <w:rPr>
          <w:rFonts w:cs="Arial"/>
          <w:szCs w:val="22"/>
        </w:rPr>
        <w:t>. Z těchto rozvaděče pak bude vycházet metalická horizontální síť (cat.6) v topologii hvězdy. Rozvaděče budou vybaveny panely pro distribuci jak signálů s místní datové sítě LAN, tak telefonních linek. Všechny rozvaděče budou typu RACK a zásuvky pak 2x RJ45 cat6.</w:t>
      </w:r>
    </w:p>
    <w:p w:rsidR="00032702" w:rsidRPr="00EC51C6" w:rsidRDefault="00032702" w:rsidP="00032702">
      <w:pPr>
        <w:pStyle w:val="Zkladntext"/>
        <w:ind w:right="567"/>
        <w:rPr>
          <w:rFonts w:cs="Arial"/>
          <w:szCs w:val="22"/>
        </w:rPr>
      </w:pPr>
      <w:r w:rsidRPr="00EC51C6">
        <w:rPr>
          <w:rFonts w:cs="Arial"/>
          <w:szCs w:val="22"/>
        </w:rPr>
        <w:lastRenderedPageBreak/>
        <w:t>Zásuvky budou osazeny dle místní dispozice v instalačních krabicích ve stěnách, případně v elektroinstalačních sloupcích, nebo parapetních žlabech. Je počítáno s dimenzí tří přípojných míst na pracoviště s výjimkou pracovišť IT, kde bude síť dimenzována pěti přípojnými místy/ pracoviště.</w:t>
      </w:r>
    </w:p>
    <w:p w:rsidR="00032702" w:rsidRPr="00EC51C6" w:rsidRDefault="00032702" w:rsidP="00032702">
      <w:pPr>
        <w:pStyle w:val="Zkladntext"/>
        <w:ind w:right="567"/>
        <w:rPr>
          <w:rFonts w:cs="Arial"/>
          <w:szCs w:val="22"/>
        </w:rPr>
      </w:pPr>
      <w:r w:rsidRPr="00EC51C6">
        <w:rPr>
          <w:rFonts w:cs="Arial"/>
          <w:szCs w:val="22"/>
        </w:rPr>
        <w:t xml:space="preserve">Součástí dodávky bude také kabelová příprava pro osazení vysílačů </w:t>
      </w:r>
      <w:proofErr w:type="spellStart"/>
      <w:r w:rsidRPr="00EC51C6">
        <w:rPr>
          <w:rFonts w:cs="Arial"/>
          <w:szCs w:val="22"/>
        </w:rPr>
        <w:t>Wifi</w:t>
      </w:r>
      <w:proofErr w:type="spellEnd"/>
      <w:r w:rsidRPr="00EC51C6">
        <w:rPr>
          <w:rFonts w:cs="Arial"/>
          <w:szCs w:val="22"/>
        </w:rPr>
        <w:t>. Tyto rozvody budou ukončeny datovými zásuvkami umístěnými nad podhledy na vytipovaných místech budovy.</w:t>
      </w:r>
    </w:p>
    <w:p w:rsidR="00032702" w:rsidRPr="00EC51C6" w:rsidRDefault="00032702" w:rsidP="00032702">
      <w:pPr>
        <w:pStyle w:val="Zkladntext"/>
        <w:ind w:right="567"/>
        <w:rPr>
          <w:rFonts w:cs="Arial"/>
          <w:szCs w:val="22"/>
        </w:rPr>
      </w:pPr>
      <w:r w:rsidRPr="00EC51C6">
        <w:rPr>
          <w:rFonts w:cs="Arial"/>
          <w:szCs w:val="22"/>
        </w:rPr>
        <w:t xml:space="preserve">Celý objekt bude pokryt signálem WIFI pro možnost připojení se jak k vnitřní síti, tak v případě potřeby je možné provozovat v prostorách, kde se bude zdržovat veřejnost i veřejné hot spoty. Celá technologie bude napojena na vnitřní infrastrukturu LAN v samostatné VLAN. Součástí řešení je také kompletní management síťových prvků a síťového provozu včetně dohledu, který bude provozován na PC. Všechny přístupové body systému WIFI pokrytí jsou kompletně </w:t>
      </w:r>
      <w:proofErr w:type="spellStart"/>
      <w:r w:rsidRPr="00EC51C6">
        <w:rPr>
          <w:rFonts w:cs="Arial"/>
          <w:szCs w:val="22"/>
        </w:rPr>
        <w:t>managementovatelné</w:t>
      </w:r>
      <w:proofErr w:type="spellEnd"/>
      <w:r w:rsidRPr="00EC51C6">
        <w:rPr>
          <w:rFonts w:cs="Arial"/>
          <w:szCs w:val="22"/>
        </w:rPr>
        <w:t xml:space="preserve"> a kontrolovatelné. V rámci dodávky doporučujeme pro oddělení interního síťového provozu od veřejného použít firewall a </w:t>
      </w:r>
      <w:proofErr w:type="spellStart"/>
      <w:r w:rsidRPr="00EC51C6">
        <w:rPr>
          <w:rFonts w:cs="Arial"/>
          <w:szCs w:val="22"/>
        </w:rPr>
        <w:t>router</w:t>
      </w:r>
      <w:proofErr w:type="spellEnd"/>
      <w:r w:rsidRPr="00EC51C6">
        <w:rPr>
          <w:rFonts w:cs="Arial"/>
          <w:szCs w:val="22"/>
        </w:rPr>
        <w:t xml:space="preserve">. Takto zabezpečený segment veřejné sítě umožní kontrolovat jak síťový </w:t>
      </w:r>
      <w:proofErr w:type="gramStart"/>
      <w:r w:rsidRPr="00EC51C6">
        <w:rPr>
          <w:rFonts w:cs="Arial"/>
          <w:szCs w:val="22"/>
        </w:rPr>
        <w:t>provoz tak</w:t>
      </w:r>
      <w:proofErr w:type="gramEnd"/>
      <w:r w:rsidRPr="00EC51C6">
        <w:rPr>
          <w:rFonts w:cs="Arial"/>
          <w:szCs w:val="22"/>
        </w:rPr>
        <w:t xml:space="preserve"> i rychlost pro jednoho uživatele, tak i celkově vyčleněný provoz pro všechny případné </w:t>
      </w:r>
      <w:proofErr w:type="spellStart"/>
      <w:r w:rsidRPr="00EC51C6">
        <w:rPr>
          <w:rFonts w:cs="Arial"/>
          <w:szCs w:val="22"/>
        </w:rPr>
        <w:t>hotspoty</w:t>
      </w:r>
      <w:proofErr w:type="spellEnd"/>
      <w:r w:rsidRPr="00EC51C6">
        <w:rPr>
          <w:rFonts w:cs="Arial"/>
          <w:szCs w:val="22"/>
        </w:rPr>
        <w:t xml:space="preserve"> apod. Lze zakázat přístup na vybrané stránky, obecně stahování, nebo jeho rychlost apod. Také je možno všechen síťový provoz logovat pro případnou zpětnou kontrolu.</w:t>
      </w:r>
    </w:p>
    <w:p w:rsidR="00032702" w:rsidRPr="00EC51C6" w:rsidRDefault="00032702" w:rsidP="00032702">
      <w:pPr>
        <w:pStyle w:val="Zkladntext"/>
        <w:ind w:right="567"/>
        <w:rPr>
          <w:rFonts w:cs="Arial"/>
          <w:szCs w:val="22"/>
        </w:rPr>
      </w:pPr>
      <w:r w:rsidRPr="00EC51C6">
        <w:rPr>
          <w:rFonts w:cs="Arial"/>
          <w:szCs w:val="22"/>
        </w:rPr>
        <w:t xml:space="preserve">Signál WIFI bude </w:t>
      </w:r>
      <w:proofErr w:type="spellStart"/>
      <w:r w:rsidRPr="00EC51C6">
        <w:rPr>
          <w:rFonts w:cs="Arial"/>
          <w:szCs w:val="22"/>
        </w:rPr>
        <w:t>distrubuován</w:t>
      </w:r>
      <w:proofErr w:type="spellEnd"/>
      <w:r w:rsidRPr="00EC51C6">
        <w:rPr>
          <w:rFonts w:cs="Arial"/>
          <w:szCs w:val="22"/>
        </w:rPr>
        <w:t xml:space="preserve"> přístupovými body, které budou pomocí sítě LAN napojeny na vnitřní infrastrukturu. K těmto přístupovým bodům bude také připraveno napájení 230V. Rozmístění přístupových bodů je zřejmé z PD.</w:t>
      </w:r>
    </w:p>
    <w:p w:rsidR="00032702" w:rsidRPr="00463FB5" w:rsidRDefault="00032702" w:rsidP="00032702">
      <w:pPr>
        <w:pStyle w:val="Zkladntext"/>
        <w:ind w:right="567"/>
        <w:rPr>
          <w:rFonts w:cs="Arial"/>
          <w:sz w:val="24"/>
          <w:szCs w:val="24"/>
        </w:rPr>
      </w:pPr>
      <w:r w:rsidRPr="00EC51C6">
        <w:rPr>
          <w:rFonts w:cs="Arial"/>
          <w:szCs w:val="22"/>
        </w:rPr>
        <w:t xml:space="preserve">Aktivní prvky (mimo vysílačů </w:t>
      </w:r>
      <w:proofErr w:type="spellStart"/>
      <w:r w:rsidRPr="00EC51C6">
        <w:rPr>
          <w:rFonts w:cs="Arial"/>
          <w:szCs w:val="22"/>
        </w:rPr>
        <w:t>WiFi</w:t>
      </w:r>
      <w:proofErr w:type="spellEnd"/>
      <w:r w:rsidRPr="00EC51C6">
        <w:rPr>
          <w:rFonts w:cs="Arial"/>
          <w:szCs w:val="22"/>
        </w:rPr>
        <w:t>) nejsou předmětem projektu a budou řešeny individuálně investorem (součástí projektu silnoproudu) pro aktivní prvky</w:t>
      </w:r>
      <w:r w:rsidRPr="00463FB5">
        <w:rPr>
          <w:rFonts w:cs="Arial"/>
          <w:sz w:val="24"/>
          <w:szCs w:val="24"/>
        </w:rPr>
        <w:t>.</w:t>
      </w:r>
    </w:p>
    <w:p w:rsidR="00032702" w:rsidRDefault="00032702" w:rsidP="00032702">
      <w:pPr>
        <w:pStyle w:val="BBSnormal"/>
        <w:ind w:firstLine="567"/>
      </w:pPr>
    </w:p>
    <w:p w:rsidR="00032702" w:rsidRPr="00EF4B50" w:rsidRDefault="005102D6" w:rsidP="00032702">
      <w:pPr>
        <w:pStyle w:val="Nadpis1"/>
        <w:rPr>
          <w:rFonts w:cs="Arial"/>
          <w:b w:val="0"/>
          <w:szCs w:val="28"/>
        </w:rPr>
      </w:pPr>
      <w:r>
        <w:rPr>
          <w:rStyle w:val="Nadpis1Char"/>
          <w:b/>
        </w:rPr>
        <w:t>8</w:t>
      </w:r>
      <w:r w:rsidR="00032702" w:rsidRPr="00EF4B50">
        <w:rPr>
          <w:rStyle w:val="Nadpis1Char"/>
          <w:b/>
        </w:rPr>
        <w:t xml:space="preserve">. </w:t>
      </w:r>
      <w:r w:rsidR="004B4411">
        <w:rPr>
          <w:rStyle w:val="Nadpis1Char"/>
          <w:b/>
        </w:rPr>
        <w:t>Systém CCTV</w:t>
      </w:r>
    </w:p>
    <w:p w:rsidR="00032702" w:rsidRDefault="00032702" w:rsidP="00032702">
      <w:pPr>
        <w:ind w:left="567" w:right="567"/>
      </w:pPr>
    </w:p>
    <w:p w:rsidR="00032702" w:rsidRPr="00463FB5" w:rsidRDefault="005102D6" w:rsidP="00032702">
      <w:pPr>
        <w:pStyle w:val="Nadpis2"/>
      </w:pPr>
      <w:r>
        <w:t>8</w:t>
      </w:r>
      <w:r w:rsidR="00032702">
        <w:t xml:space="preserve">.1. </w:t>
      </w:r>
      <w:r w:rsidR="00032702" w:rsidRPr="00463FB5">
        <w:t>Úvod</w:t>
      </w:r>
    </w:p>
    <w:p w:rsidR="00F737B9" w:rsidRPr="00F737B9" w:rsidRDefault="00F737B9" w:rsidP="00F737B9">
      <w:pPr>
        <w:rPr>
          <w:rFonts w:cs="Arial"/>
        </w:rPr>
      </w:pPr>
      <w:r w:rsidRPr="00F737B9">
        <w:t xml:space="preserve">   </w:t>
      </w:r>
      <w:r w:rsidRPr="00F737B9">
        <w:rPr>
          <w:rFonts w:cs="Arial"/>
        </w:rPr>
        <w:t xml:space="preserve">V  objektu je vyprojektován samostatný okruh rozvodu uzavřeného televizního okruhu s vlastními zařízeními pro digitální zpracování a záznam videosignálu. Prohlížení aktuálních videosignálů z kamer i historii záznamu bude tedy možné na kterékoli pracovní stanici (PC) datové sítě pro technickou správu areálu, kde bude instalován potřebný software a definováno dané oprávnění. </w:t>
      </w:r>
    </w:p>
    <w:p w:rsidR="00F737B9" w:rsidRPr="00F737B9" w:rsidRDefault="00F737B9" w:rsidP="00F737B9">
      <w:pPr>
        <w:rPr>
          <w:rFonts w:cs="Arial"/>
        </w:rPr>
      </w:pPr>
      <w:r w:rsidRPr="00F737B9">
        <w:rPr>
          <w:rFonts w:cs="Arial"/>
        </w:rPr>
        <w:t xml:space="preserve">  Rozvod uzavřeného televizního okruhu slouží k trvalému sledování vytipovaných míst v areálu a jednotlivých objektech. Dle požadavku investora budou sledovány vstupy do objektu, hlavní komunikační trasy v prostoru garážových </w:t>
      </w:r>
      <w:proofErr w:type="gramStart"/>
      <w:r w:rsidRPr="00F737B9">
        <w:rPr>
          <w:rFonts w:cs="Arial"/>
        </w:rPr>
        <w:t>stání a  fasáda</w:t>
      </w:r>
      <w:proofErr w:type="gramEnd"/>
      <w:r w:rsidRPr="00F737B9">
        <w:rPr>
          <w:rFonts w:cs="Arial"/>
        </w:rPr>
        <w:t xml:space="preserve"> objektu</w:t>
      </w:r>
    </w:p>
    <w:p w:rsidR="00F737B9" w:rsidRPr="00F737B9" w:rsidRDefault="00F737B9" w:rsidP="00F737B9">
      <w:pPr>
        <w:pStyle w:val="Normln0"/>
        <w:rPr>
          <w:rFonts w:ascii="Arial" w:hAnsi="Arial" w:cs="Arial"/>
          <w:color w:val="000000"/>
          <w:sz w:val="22"/>
          <w:szCs w:val="22"/>
        </w:rPr>
      </w:pPr>
      <w:r w:rsidRPr="00F737B9">
        <w:rPr>
          <w:rFonts w:ascii="Arial" w:hAnsi="Arial" w:cs="Arial"/>
          <w:color w:val="000000"/>
          <w:sz w:val="22"/>
          <w:szCs w:val="22"/>
        </w:rPr>
        <w:t>Trvale budou sledovány:</w:t>
      </w:r>
    </w:p>
    <w:p w:rsidR="00F737B9" w:rsidRPr="00F737B9" w:rsidRDefault="00F737B9" w:rsidP="00F737B9">
      <w:pPr>
        <w:pStyle w:val="Normln0"/>
        <w:numPr>
          <w:ilvl w:val="0"/>
          <w:numId w:val="6"/>
        </w:numPr>
        <w:rPr>
          <w:rFonts w:ascii="Arial" w:hAnsi="Arial" w:cs="Arial"/>
          <w:color w:val="000000"/>
          <w:sz w:val="22"/>
          <w:szCs w:val="22"/>
        </w:rPr>
      </w:pPr>
      <w:r w:rsidRPr="00F737B9">
        <w:rPr>
          <w:rFonts w:ascii="Arial" w:hAnsi="Arial" w:cs="Arial"/>
          <w:color w:val="000000"/>
          <w:sz w:val="22"/>
          <w:szCs w:val="22"/>
        </w:rPr>
        <w:t>Fasáda objektu</w:t>
      </w:r>
    </w:p>
    <w:p w:rsidR="00F737B9" w:rsidRPr="00F737B9" w:rsidRDefault="00F737B9" w:rsidP="00F737B9">
      <w:pPr>
        <w:pStyle w:val="Normln0"/>
        <w:numPr>
          <w:ilvl w:val="0"/>
          <w:numId w:val="6"/>
        </w:numPr>
        <w:rPr>
          <w:rFonts w:ascii="Arial" w:hAnsi="Arial" w:cs="Arial"/>
          <w:color w:val="000000"/>
          <w:sz w:val="22"/>
          <w:szCs w:val="22"/>
        </w:rPr>
      </w:pPr>
      <w:r w:rsidRPr="00F737B9">
        <w:rPr>
          <w:rFonts w:ascii="Arial" w:hAnsi="Arial" w:cs="Arial"/>
          <w:color w:val="000000"/>
          <w:sz w:val="22"/>
          <w:szCs w:val="22"/>
        </w:rPr>
        <w:t>Vstupy do objektu</w:t>
      </w:r>
    </w:p>
    <w:p w:rsidR="00F737B9" w:rsidRPr="00F737B9" w:rsidRDefault="00F737B9" w:rsidP="00F737B9">
      <w:pPr>
        <w:pStyle w:val="Normln0"/>
        <w:numPr>
          <w:ilvl w:val="0"/>
          <w:numId w:val="6"/>
        </w:numPr>
        <w:rPr>
          <w:rFonts w:ascii="Arial" w:hAnsi="Arial" w:cs="Arial"/>
          <w:color w:val="000000"/>
          <w:sz w:val="22"/>
          <w:szCs w:val="22"/>
        </w:rPr>
      </w:pPr>
      <w:r w:rsidRPr="00F737B9">
        <w:rPr>
          <w:rFonts w:ascii="Arial" w:hAnsi="Arial" w:cs="Arial"/>
          <w:color w:val="000000"/>
          <w:sz w:val="22"/>
          <w:szCs w:val="22"/>
        </w:rPr>
        <w:t>Vjezdy do objektu</w:t>
      </w:r>
    </w:p>
    <w:p w:rsidR="00F737B9" w:rsidRPr="00F737B9" w:rsidRDefault="00F737B9" w:rsidP="00F737B9">
      <w:pPr>
        <w:pStyle w:val="Normln0"/>
        <w:numPr>
          <w:ilvl w:val="0"/>
          <w:numId w:val="6"/>
        </w:numPr>
        <w:rPr>
          <w:rFonts w:ascii="Arial" w:hAnsi="Arial" w:cs="Arial"/>
          <w:color w:val="000000"/>
          <w:sz w:val="22"/>
          <w:szCs w:val="22"/>
        </w:rPr>
      </w:pPr>
      <w:r w:rsidRPr="00F737B9">
        <w:rPr>
          <w:rFonts w:ascii="Arial" w:hAnsi="Arial" w:cs="Arial"/>
          <w:color w:val="000000"/>
          <w:sz w:val="22"/>
          <w:szCs w:val="22"/>
        </w:rPr>
        <w:t>Komunikační body ve všech podlažích (nástupiště výtahu, vstupy na hlavní schodiště atp.)</w:t>
      </w:r>
    </w:p>
    <w:p w:rsidR="00F737B9" w:rsidRPr="00F737B9" w:rsidRDefault="00F737B9" w:rsidP="00F737B9">
      <w:pPr>
        <w:pStyle w:val="Odstavecseseznamem"/>
        <w:numPr>
          <w:ilvl w:val="0"/>
          <w:numId w:val="6"/>
        </w:numPr>
        <w:rPr>
          <w:rFonts w:cs="Arial"/>
          <w:szCs w:val="22"/>
        </w:rPr>
      </w:pPr>
      <w:r w:rsidRPr="00F737B9">
        <w:rPr>
          <w:rFonts w:cs="Arial"/>
          <w:szCs w:val="22"/>
        </w:rPr>
        <w:t xml:space="preserve">   Navržena je kamera s max. rozlišením 2MP, tedy 1080p, (tzv. „full HD rozlišení) s možností automatického přepnutí do nočního režimu. </w:t>
      </w:r>
    </w:p>
    <w:p w:rsidR="00F737B9" w:rsidRPr="00F737B9" w:rsidRDefault="00F737B9" w:rsidP="00F737B9">
      <w:pPr>
        <w:pStyle w:val="Odstavecseseznamem"/>
        <w:numPr>
          <w:ilvl w:val="0"/>
          <w:numId w:val="6"/>
        </w:numPr>
        <w:rPr>
          <w:rFonts w:cs="Arial"/>
          <w:szCs w:val="22"/>
        </w:rPr>
      </w:pPr>
      <w:r w:rsidRPr="00F737B9">
        <w:rPr>
          <w:rFonts w:cs="Arial"/>
          <w:szCs w:val="22"/>
        </w:rPr>
        <w:t xml:space="preserve">   Tato bude vestavěna do krytu pro vnější použití, s vyhříváním a větráním a sluneční clonou. </w:t>
      </w:r>
    </w:p>
    <w:p w:rsidR="00F737B9" w:rsidRPr="00F737B9" w:rsidRDefault="00F737B9" w:rsidP="00F737B9">
      <w:pPr>
        <w:pStyle w:val="Odstavecseseznamem"/>
        <w:numPr>
          <w:ilvl w:val="0"/>
          <w:numId w:val="6"/>
        </w:numPr>
        <w:rPr>
          <w:rFonts w:cs="Arial"/>
          <w:szCs w:val="22"/>
        </w:rPr>
      </w:pPr>
      <w:r w:rsidRPr="00F737B9">
        <w:rPr>
          <w:rFonts w:cs="Arial"/>
          <w:szCs w:val="22"/>
        </w:rPr>
        <w:t xml:space="preserve">   Vzhledem ke skutečnosti, že tyto kamery </w:t>
      </w:r>
      <w:proofErr w:type="gramStart"/>
      <w:r w:rsidRPr="00F737B9">
        <w:rPr>
          <w:rFonts w:cs="Arial"/>
          <w:szCs w:val="22"/>
        </w:rPr>
        <w:t>zabírají</w:t>
      </w:r>
      <w:proofErr w:type="gramEnd"/>
      <w:r w:rsidRPr="00F737B9">
        <w:rPr>
          <w:rFonts w:cs="Arial"/>
          <w:szCs w:val="22"/>
        </w:rPr>
        <w:t xml:space="preserve"> velikou plochu </w:t>
      </w:r>
      <w:proofErr w:type="gramStart"/>
      <w:r w:rsidRPr="00F737B9">
        <w:rPr>
          <w:rFonts w:cs="Arial"/>
          <w:szCs w:val="22"/>
        </w:rPr>
        <w:t>nejsou</w:t>
      </w:r>
      <w:proofErr w:type="gramEnd"/>
      <w:r w:rsidRPr="00F737B9">
        <w:rPr>
          <w:rFonts w:cs="Arial"/>
          <w:szCs w:val="22"/>
        </w:rPr>
        <w:t xml:space="preserve"> navrženy kamery s IR přísvitem, jelikož vestavěný IR přísvit nepokryje kamerou zabíranou plochu tak, aby obrazy z kamer byly využitelné pro bezpečnostní sledování. U všech kamer je však koordinován vývod rozvodu NN 230V, na který je možno v případě budoucí potřeby zapojit samostatný externí IR reflektor </w:t>
      </w:r>
      <w:r w:rsidRPr="00F737B9">
        <w:rPr>
          <w:rFonts w:cs="Arial"/>
          <w:szCs w:val="22"/>
        </w:rPr>
        <w:lastRenderedPageBreak/>
        <w:t>s </w:t>
      </w:r>
      <w:proofErr w:type="spellStart"/>
      <w:r w:rsidRPr="00F737B9">
        <w:rPr>
          <w:rFonts w:cs="Arial"/>
          <w:szCs w:val="22"/>
        </w:rPr>
        <w:t>infrapasivním</w:t>
      </w:r>
      <w:proofErr w:type="spellEnd"/>
      <w:r w:rsidRPr="00F737B9">
        <w:rPr>
          <w:rFonts w:cs="Arial"/>
          <w:szCs w:val="22"/>
        </w:rPr>
        <w:t xml:space="preserve"> čidel, který IR osvětlením pokryje převážnou </w:t>
      </w:r>
      <w:proofErr w:type="spellStart"/>
      <w:r w:rsidRPr="00F737B9">
        <w:rPr>
          <w:rFonts w:cs="Arial"/>
          <w:szCs w:val="22"/>
        </w:rPr>
        <w:t>většimu</w:t>
      </w:r>
      <w:proofErr w:type="spellEnd"/>
      <w:r w:rsidRPr="00F737B9">
        <w:rPr>
          <w:rFonts w:cs="Arial"/>
          <w:szCs w:val="22"/>
        </w:rPr>
        <w:t xml:space="preserve"> kamerou sledované plochy.</w:t>
      </w:r>
    </w:p>
    <w:p w:rsidR="00F737B9" w:rsidRPr="00F737B9" w:rsidRDefault="00F737B9" w:rsidP="00F737B9">
      <w:pPr>
        <w:pStyle w:val="Nadpis9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F737B9">
        <w:rPr>
          <w:rFonts w:ascii="Arial" w:hAnsi="Arial" w:cs="Arial"/>
          <w:sz w:val="22"/>
          <w:szCs w:val="22"/>
        </w:rPr>
        <w:t xml:space="preserve">   </w:t>
      </w:r>
      <w:bookmarkStart w:id="84" w:name="_Toc335816810"/>
      <w:bookmarkStart w:id="85" w:name="_Toc437011935"/>
      <w:bookmarkStart w:id="86" w:name="_Toc463899038"/>
      <w:bookmarkStart w:id="87" w:name="_Toc473094004"/>
      <w:r w:rsidRPr="00F737B9">
        <w:rPr>
          <w:rFonts w:ascii="Arial" w:hAnsi="Arial" w:cs="Arial"/>
          <w:sz w:val="22"/>
          <w:szCs w:val="22"/>
        </w:rPr>
        <w:t>Vnitřní kamery</w:t>
      </w:r>
      <w:bookmarkEnd w:id="84"/>
      <w:bookmarkEnd w:id="85"/>
      <w:bookmarkEnd w:id="86"/>
      <w:bookmarkEnd w:id="87"/>
    </w:p>
    <w:p w:rsidR="00F737B9" w:rsidRPr="00F737B9" w:rsidRDefault="00F737B9" w:rsidP="00F737B9">
      <w:pPr>
        <w:pStyle w:val="Odstavecseseznamem"/>
        <w:numPr>
          <w:ilvl w:val="0"/>
          <w:numId w:val="6"/>
        </w:numPr>
        <w:rPr>
          <w:rFonts w:cs="Arial"/>
          <w:szCs w:val="22"/>
        </w:rPr>
      </w:pPr>
      <w:r w:rsidRPr="00F737B9">
        <w:rPr>
          <w:rFonts w:cs="Arial"/>
          <w:szCs w:val="22"/>
        </w:rPr>
        <w:t xml:space="preserve">   Navržena je kamera s max. rozlišením 1,3MP, tedy 720p, (tzv. „HD rozlišení). Jedná se o tzv. „</w:t>
      </w:r>
      <w:proofErr w:type="spellStart"/>
      <w:r w:rsidRPr="00F737B9">
        <w:rPr>
          <w:rFonts w:cs="Arial"/>
          <w:szCs w:val="22"/>
        </w:rPr>
        <w:t>doom</w:t>
      </w:r>
      <w:proofErr w:type="spellEnd"/>
      <w:r w:rsidRPr="00F737B9">
        <w:rPr>
          <w:rFonts w:cs="Arial"/>
          <w:szCs w:val="22"/>
        </w:rPr>
        <w:t>“ kameru, vestavěnou do půlkruhového interiérového krytu.</w:t>
      </w:r>
    </w:p>
    <w:p w:rsidR="00EF4B50" w:rsidRPr="00F737B9" w:rsidRDefault="00EF4B50" w:rsidP="003F619D">
      <w:pPr>
        <w:ind w:firstLine="567"/>
        <w:jc w:val="both"/>
        <w:rPr>
          <w:rFonts w:cs="Arial"/>
          <w:bCs/>
          <w:color w:val="000000"/>
          <w:szCs w:val="22"/>
        </w:rPr>
      </w:pPr>
    </w:p>
    <w:p w:rsidR="00EF4B50" w:rsidRDefault="00EF4B50" w:rsidP="003F619D">
      <w:pPr>
        <w:ind w:firstLine="567"/>
        <w:jc w:val="both"/>
      </w:pPr>
    </w:p>
    <w:p w:rsidR="003F619D" w:rsidRPr="003B2799" w:rsidRDefault="005102D6" w:rsidP="00F737B9">
      <w:pPr>
        <w:pStyle w:val="Nadpis1"/>
        <w:ind w:left="360"/>
      </w:pPr>
      <w:bookmarkStart w:id="88" w:name="_Toc44726267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31"/>
      <w:bookmarkEnd w:id="32"/>
      <w:bookmarkEnd w:id="33"/>
      <w:bookmarkEnd w:id="34"/>
      <w:bookmarkEnd w:id="35"/>
      <w:proofErr w:type="gramStart"/>
      <w:r>
        <w:t>8</w:t>
      </w:r>
      <w:r w:rsidR="00F737B9">
        <w:t>.</w:t>
      </w:r>
      <w:r w:rsidR="003F619D" w:rsidRPr="003B2799">
        <w:t>Bezpečnost</w:t>
      </w:r>
      <w:proofErr w:type="gramEnd"/>
      <w:r w:rsidR="003F619D" w:rsidRPr="003B2799">
        <w:t xml:space="preserve"> práce a ochrana zdraví, vliv na životní prostředí</w:t>
      </w:r>
      <w:bookmarkEnd w:id="26"/>
      <w:bookmarkEnd w:id="27"/>
      <w:bookmarkEnd w:id="28"/>
      <w:bookmarkEnd w:id="29"/>
      <w:bookmarkEnd w:id="30"/>
      <w:bookmarkEnd w:id="88"/>
    </w:p>
    <w:p w:rsidR="00CE3C29" w:rsidRPr="00EC51C6" w:rsidRDefault="00CE3C29" w:rsidP="00CE3C29">
      <w:pPr>
        <w:pStyle w:val="Zkladntext21"/>
        <w:tabs>
          <w:tab w:val="clear" w:pos="8931"/>
        </w:tabs>
        <w:ind w:firstLine="426"/>
        <w:rPr>
          <w:rFonts w:cs="Arial"/>
          <w:szCs w:val="22"/>
        </w:rPr>
      </w:pPr>
      <w:bookmarkStart w:id="89" w:name="_Toc243291818"/>
      <w:bookmarkStart w:id="90" w:name="_Toc243292655"/>
      <w:bookmarkStart w:id="91" w:name="_Toc247620204"/>
      <w:bookmarkStart w:id="92" w:name="_Toc248214646"/>
      <w:bookmarkStart w:id="93" w:name="_Toc312074787"/>
      <w:r w:rsidRPr="00EC51C6">
        <w:rPr>
          <w:rFonts w:cs="Arial"/>
          <w:szCs w:val="22"/>
        </w:rPr>
        <w:t>Veškeré elektromontážní práce mohou provádět pouze pracovníci s potřebnou elektrotechnickou kvalifikací podle platných předpisů ČSN a při dodržení všech bezpečnostních předpisů (používání ochranných a pracovních pomůcek, používání bezpečnostních tabulek, práce ve výškách, práce na zařízení pod napětím apod.).</w:t>
      </w:r>
    </w:p>
    <w:p w:rsidR="00CE3C29" w:rsidRPr="00EC51C6" w:rsidRDefault="00CE3C29" w:rsidP="00CE3C29">
      <w:pPr>
        <w:pStyle w:val="Zkladntext21"/>
        <w:tabs>
          <w:tab w:val="clear" w:pos="8931"/>
        </w:tabs>
        <w:ind w:firstLine="0"/>
        <w:rPr>
          <w:rFonts w:cs="Arial"/>
          <w:szCs w:val="22"/>
        </w:rPr>
      </w:pPr>
      <w:r w:rsidRPr="00EC51C6">
        <w:rPr>
          <w:rFonts w:cs="Arial"/>
          <w:szCs w:val="22"/>
        </w:rPr>
        <w:t>Po provedení montážních prací bude provedena výchozí revize a vystavena revizní zpráva dle ČSN 33 2000-6.</w:t>
      </w:r>
    </w:p>
    <w:p w:rsidR="00CE3C29" w:rsidRPr="00EC51C6" w:rsidRDefault="00CE3C29" w:rsidP="00CE3C29">
      <w:pPr>
        <w:pStyle w:val="Zkladntext21"/>
        <w:tabs>
          <w:tab w:val="clear" w:pos="8931"/>
        </w:tabs>
        <w:ind w:firstLine="0"/>
        <w:rPr>
          <w:rFonts w:cs="Arial"/>
          <w:szCs w:val="22"/>
        </w:rPr>
      </w:pPr>
      <w:r w:rsidRPr="00EC51C6">
        <w:rPr>
          <w:rFonts w:cs="Arial"/>
          <w:szCs w:val="22"/>
        </w:rPr>
        <w:t xml:space="preserve">Provozovatel zařízení je povinen zpracovat provozní předpisy a zabezpečit, aby s nimi byly obsluhy prokazatelně seznámeny. Tyto osoby pověřené obsluhou a údržbou el. </w:t>
      </w:r>
      <w:proofErr w:type="gramStart"/>
      <w:r w:rsidRPr="00EC51C6">
        <w:rPr>
          <w:rFonts w:cs="Arial"/>
          <w:szCs w:val="22"/>
        </w:rPr>
        <w:t>zařízení</w:t>
      </w:r>
      <w:proofErr w:type="gramEnd"/>
      <w:r w:rsidRPr="00EC51C6">
        <w:rPr>
          <w:rFonts w:cs="Arial"/>
          <w:szCs w:val="22"/>
        </w:rPr>
        <w:t xml:space="preserve">  musí prokázat znalost místních provozních a bezpečnostních předpisů, protipožárních opatření, poskytnutí první pomoci při úrazech elektřinou a znalost postupů a způsobu hlášení závad na svěřeném pracovišti.</w:t>
      </w:r>
    </w:p>
    <w:p w:rsidR="00CE3C29" w:rsidRPr="00EC51C6" w:rsidRDefault="00CE3C29" w:rsidP="00CE3C29">
      <w:pPr>
        <w:pStyle w:val="Zkladntext21"/>
        <w:tabs>
          <w:tab w:val="clear" w:pos="8931"/>
        </w:tabs>
        <w:ind w:firstLine="0"/>
        <w:rPr>
          <w:rFonts w:cs="Arial"/>
          <w:szCs w:val="22"/>
        </w:rPr>
      </w:pPr>
      <w:r w:rsidRPr="00EC51C6">
        <w:rPr>
          <w:rFonts w:cs="Arial"/>
          <w:szCs w:val="22"/>
        </w:rPr>
        <w:t xml:space="preserve">Všechny poruchy a závady na el. </w:t>
      </w:r>
      <w:proofErr w:type="gramStart"/>
      <w:r w:rsidRPr="00EC51C6">
        <w:rPr>
          <w:rFonts w:cs="Arial"/>
          <w:szCs w:val="22"/>
        </w:rPr>
        <w:t>zařízení</w:t>
      </w:r>
      <w:proofErr w:type="gramEnd"/>
      <w:r w:rsidRPr="00EC51C6">
        <w:rPr>
          <w:rFonts w:cs="Arial"/>
          <w:szCs w:val="22"/>
        </w:rPr>
        <w:t xml:space="preserve"> musí být neprodleně odstraněny.</w:t>
      </w:r>
    </w:p>
    <w:p w:rsidR="00CE3C29" w:rsidRPr="00EC51C6" w:rsidRDefault="00CE3C29" w:rsidP="00CE3C29">
      <w:pPr>
        <w:pStyle w:val="Zkladntext21"/>
        <w:tabs>
          <w:tab w:val="clear" w:pos="8931"/>
        </w:tabs>
        <w:ind w:firstLine="0"/>
        <w:rPr>
          <w:rFonts w:cs="Arial"/>
          <w:szCs w:val="22"/>
        </w:rPr>
      </w:pPr>
      <w:proofErr w:type="spellStart"/>
      <w:proofErr w:type="gramStart"/>
      <w:r w:rsidRPr="00EC51C6">
        <w:rPr>
          <w:rFonts w:cs="Arial"/>
          <w:szCs w:val="22"/>
        </w:rPr>
        <w:t>El</w:t>
      </w:r>
      <w:proofErr w:type="gramEnd"/>
      <w:r w:rsidRPr="00EC51C6">
        <w:rPr>
          <w:rFonts w:cs="Arial"/>
          <w:szCs w:val="22"/>
        </w:rPr>
        <w:t>.</w:t>
      </w:r>
      <w:proofErr w:type="gramStart"/>
      <w:r w:rsidRPr="00EC51C6">
        <w:rPr>
          <w:rFonts w:cs="Arial"/>
          <w:szCs w:val="22"/>
        </w:rPr>
        <w:t>zařízení</w:t>
      </w:r>
      <w:proofErr w:type="spellEnd"/>
      <w:proofErr w:type="gramEnd"/>
      <w:r w:rsidRPr="00EC51C6">
        <w:rPr>
          <w:rFonts w:cs="Arial"/>
          <w:szCs w:val="22"/>
        </w:rPr>
        <w:t xml:space="preserve"> umístěné na místech veřejně přístupných, musí být opatřena bezpečnostními tabulkami podle ČSN ISO 3864 upozorňující na nebezpečí úrazu elektřinou. Označení není nutné v případech, kdy se jedná o el. </w:t>
      </w:r>
      <w:proofErr w:type="gramStart"/>
      <w:r w:rsidRPr="00EC51C6">
        <w:rPr>
          <w:rFonts w:cs="Arial"/>
          <w:szCs w:val="22"/>
        </w:rPr>
        <w:t>zařízení</w:t>
      </w:r>
      <w:proofErr w:type="gramEnd"/>
      <w:r w:rsidRPr="00EC51C6">
        <w:rPr>
          <w:rFonts w:cs="Arial"/>
          <w:szCs w:val="22"/>
        </w:rPr>
        <w:t xml:space="preserve"> umístěná tak, že je k těmto zařízením umožněn přístup jen pracovníkům s příslušnou elektrotechnickou kvalifikací, kteří jsou určeni k činnosti na těchto zařízeních.</w:t>
      </w:r>
    </w:p>
    <w:p w:rsidR="00CE3C29" w:rsidRPr="00EC51C6" w:rsidRDefault="00CE3C29" w:rsidP="00CE3C29">
      <w:pPr>
        <w:pStyle w:val="Zkladntext21"/>
        <w:tabs>
          <w:tab w:val="clear" w:pos="8931"/>
        </w:tabs>
        <w:ind w:firstLine="0"/>
        <w:rPr>
          <w:rFonts w:cs="Arial"/>
          <w:szCs w:val="22"/>
        </w:rPr>
      </w:pPr>
      <w:r w:rsidRPr="00EC51C6">
        <w:rPr>
          <w:rFonts w:cs="Arial"/>
          <w:szCs w:val="22"/>
        </w:rPr>
        <w:t>Všechny části zařízení, sloužící k bezpečnosti osob v případě nebezpečí (např. hlavní vypínače zařízení), musí být nápadně označeny a v jejich blízkosti musí být umístěna bezpečnostní tabulka s příslušným pokynem.</w:t>
      </w:r>
    </w:p>
    <w:p w:rsidR="00CE3C29" w:rsidRPr="00EC51C6" w:rsidRDefault="00CE3C29" w:rsidP="00CE3C29">
      <w:pPr>
        <w:pStyle w:val="Zkladntext"/>
        <w:tabs>
          <w:tab w:val="left" w:pos="6804"/>
        </w:tabs>
        <w:jc w:val="both"/>
        <w:rPr>
          <w:rFonts w:cs="Arial"/>
          <w:b/>
          <w:i/>
          <w:szCs w:val="22"/>
        </w:rPr>
      </w:pPr>
      <w:r w:rsidRPr="00EC51C6">
        <w:rPr>
          <w:rFonts w:cs="Arial"/>
          <w:b/>
          <w:i/>
          <w:szCs w:val="22"/>
        </w:rPr>
        <w:t>Před zahájením zemních prací v blízkosti podzemních vedení musí mít prováděcí firma předem vytyčen jejich průběh v terénu. Pokud nezajistil vytyčení průběhu podzemních vedení sám investor, musí to zajistit prováděcí firma. Dodavatel nesmí přikročit k provádění zemních prací, aniž by byl vytyčen průběh podzemních vedení a uzemnění.</w:t>
      </w:r>
    </w:p>
    <w:p w:rsidR="003F619D" w:rsidRPr="003B2799" w:rsidRDefault="005102D6" w:rsidP="00F737B9">
      <w:pPr>
        <w:pStyle w:val="Nadpis2"/>
        <w:spacing w:before="240"/>
        <w:ind w:firstLine="567"/>
        <w:jc w:val="both"/>
      </w:pPr>
      <w:r>
        <w:t>9</w:t>
      </w:r>
      <w:r w:rsidR="00F737B9">
        <w:t xml:space="preserve">. </w:t>
      </w:r>
      <w:r w:rsidR="003F619D" w:rsidRPr="003B2799">
        <w:t>Požadavky hygienických předpisů</w:t>
      </w:r>
      <w:bookmarkEnd w:id="89"/>
      <w:bookmarkEnd w:id="90"/>
      <w:bookmarkEnd w:id="91"/>
      <w:bookmarkEnd w:id="92"/>
      <w:bookmarkEnd w:id="93"/>
    </w:p>
    <w:p w:rsidR="003F619D" w:rsidRPr="003B2799" w:rsidRDefault="003F619D" w:rsidP="003F619D">
      <w:pPr>
        <w:spacing w:line="240" w:lineRule="atLeast"/>
        <w:ind w:firstLine="567"/>
        <w:jc w:val="both"/>
      </w:pPr>
      <w:r w:rsidRPr="003B2799">
        <w:t>Při stavbě musí být dodrženy požadavky příslušných hygienických předpisů, zejména v otázkách hlučnosti, prašnosti, narušení stávající zeleně, obtěžování okolí, znečišťování komunikací apod.</w:t>
      </w:r>
    </w:p>
    <w:p w:rsidR="003F619D" w:rsidRPr="003B2799" w:rsidRDefault="005102D6" w:rsidP="009052A5">
      <w:pPr>
        <w:pStyle w:val="Nadpis2"/>
        <w:spacing w:before="240"/>
        <w:ind w:left="284"/>
        <w:jc w:val="both"/>
      </w:pPr>
      <w:bookmarkStart w:id="94" w:name="_Toc243291819"/>
      <w:bookmarkStart w:id="95" w:name="_Toc243292656"/>
      <w:bookmarkStart w:id="96" w:name="_Toc247620205"/>
      <w:bookmarkStart w:id="97" w:name="_Toc248214647"/>
      <w:bookmarkStart w:id="98" w:name="_Toc312074788"/>
      <w:r>
        <w:t>10</w:t>
      </w:r>
      <w:r w:rsidR="009052A5">
        <w:t>.</w:t>
      </w:r>
      <w:r w:rsidR="00F737B9">
        <w:t xml:space="preserve"> </w:t>
      </w:r>
      <w:r w:rsidR="003F619D" w:rsidRPr="003B2799">
        <w:t>Vliv stavby na životní prostředí</w:t>
      </w:r>
      <w:bookmarkEnd w:id="94"/>
      <w:bookmarkEnd w:id="95"/>
      <w:bookmarkEnd w:id="96"/>
      <w:bookmarkEnd w:id="97"/>
      <w:bookmarkEnd w:id="98"/>
    </w:p>
    <w:p w:rsidR="003F619D" w:rsidRDefault="003F619D" w:rsidP="003F619D">
      <w:pPr>
        <w:spacing w:line="240" w:lineRule="atLeast"/>
        <w:ind w:firstLine="567"/>
      </w:pPr>
      <w:r w:rsidRPr="003B2799">
        <w:t xml:space="preserve">Stavba nebude mít po realizaci negativní vliv na životní prostředí. </w:t>
      </w:r>
    </w:p>
    <w:p w:rsidR="00E478E5" w:rsidRDefault="00E478E5" w:rsidP="003F619D">
      <w:pPr>
        <w:spacing w:line="240" w:lineRule="atLeast"/>
        <w:ind w:firstLine="567"/>
      </w:pPr>
    </w:p>
    <w:p w:rsidR="00E478E5" w:rsidRPr="003B2799" w:rsidRDefault="005102D6" w:rsidP="005102D6">
      <w:pPr>
        <w:pStyle w:val="Nadpis2"/>
        <w:spacing w:before="240"/>
        <w:ind w:left="284"/>
        <w:jc w:val="both"/>
      </w:pPr>
      <w:r>
        <w:t xml:space="preserve">11. </w:t>
      </w:r>
      <w:r w:rsidR="009052A5">
        <w:t xml:space="preserve"> </w:t>
      </w:r>
      <w:r w:rsidR="00E478E5">
        <w:t>Nakládání s odpady</w:t>
      </w:r>
    </w:p>
    <w:p w:rsidR="00E478E5" w:rsidRPr="00E478E5" w:rsidRDefault="00E478E5" w:rsidP="00E478E5">
      <w:pPr>
        <w:pStyle w:val="Zkladntext"/>
        <w:spacing w:after="0"/>
        <w:ind w:firstLine="567"/>
        <w:jc w:val="both"/>
        <w:rPr>
          <w:szCs w:val="24"/>
        </w:rPr>
      </w:pPr>
      <w:r w:rsidRPr="00E478E5">
        <w:rPr>
          <w:szCs w:val="24"/>
        </w:rPr>
        <w:t>Při montáži je třeba dodržovat vyhlášku MŽP č. 503/2004 Sb. a vyhlášku č. 353/2005 Sb. ve věci skladování a likvidaci odpadů.</w:t>
      </w:r>
    </w:p>
    <w:p w:rsidR="00E478E5" w:rsidRPr="003B2799" w:rsidRDefault="00E478E5" w:rsidP="003F619D">
      <w:pPr>
        <w:spacing w:line="240" w:lineRule="atLeast"/>
        <w:ind w:firstLine="567"/>
      </w:pPr>
    </w:p>
    <w:p w:rsidR="003F619D" w:rsidRPr="003B2799" w:rsidRDefault="005102D6" w:rsidP="005102D6">
      <w:pPr>
        <w:pStyle w:val="Nadpis2"/>
        <w:spacing w:before="240"/>
        <w:ind w:left="-113"/>
        <w:jc w:val="both"/>
      </w:pPr>
      <w:bookmarkStart w:id="99" w:name="_Toc243291820"/>
      <w:bookmarkStart w:id="100" w:name="_Toc243292657"/>
      <w:bookmarkStart w:id="101" w:name="_Toc247620206"/>
      <w:bookmarkStart w:id="102" w:name="_Toc248214648"/>
      <w:bookmarkStart w:id="103" w:name="_Toc312074789"/>
      <w:bookmarkStart w:id="104" w:name="_GoBack"/>
      <w:r>
        <w:t>12</w:t>
      </w:r>
      <w:r w:rsidR="00F737B9">
        <w:t>.</w:t>
      </w:r>
      <w:r w:rsidR="009052A5">
        <w:t xml:space="preserve"> </w:t>
      </w:r>
      <w:r w:rsidR="003F619D" w:rsidRPr="003B2799">
        <w:t>Závěrečná ustanovení</w:t>
      </w:r>
      <w:bookmarkEnd w:id="99"/>
      <w:bookmarkEnd w:id="100"/>
      <w:bookmarkEnd w:id="101"/>
      <w:bookmarkEnd w:id="102"/>
      <w:bookmarkEnd w:id="103"/>
    </w:p>
    <w:bookmarkEnd w:id="104"/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 xml:space="preserve">Výrobky, které </w:t>
      </w:r>
      <w:proofErr w:type="gramStart"/>
      <w:r w:rsidRPr="00E478E5">
        <w:rPr>
          <w:szCs w:val="22"/>
        </w:rPr>
        <w:t>jsou</w:t>
      </w:r>
      <w:proofErr w:type="gramEnd"/>
      <w:r w:rsidRPr="00E478E5">
        <w:rPr>
          <w:szCs w:val="22"/>
        </w:rPr>
        <w:t xml:space="preserve"> navrženy v projektové dokumentaci </w:t>
      </w:r>
      <w:proofErr w:type="gramStart"/>
      <w:r w:rsidRPr="00E478E5">
        <w:rPr>
          <w:szCs w:val="22"/>
        </w:rPr>
        <w:t>musí</w:t>
      </w:r>
      <w:proofErr w:type="gramEnd"/>
      <w:r w:rsidRPr="00E478E5">
        <w:rPr>
          <w:szCs w:val="22"/>
        </w:rPr>
        <w:t xml:space="preserve"> vyhovovat zákonu č. 22/97 Sb. o technických požadavcích na výrobky a prováděcím předpisům </w:t>
      </w:r>
      <w:r w:rsidRPr="00E478E5">
        <w:rPr>
          <w:szCs w:val="22"/>
        </w:rPr>
        <w:sym w:font="Symbol" w:char="F028"/>
      </w:r>
      <w:r w:rsidRPr="00E478E5">
        <w:rPr>
          <w:szCs w:val="22"/>
        </w:rPr>
        <w:t>nařízením vlády</w:t>
      </w:r>
      <w:r w:rsidRPr="00E478E5">
        <w:rPr>
          <w:szCs w:val="22"/>
        </w:rPr>
        <w:sym w:font="Symbol" w:char="F029"/>
      </w:r>
      <w:r w:rsidRPr="00E478E5">
        <w:rPr>
          <w:szCs w:val="22"/>
        </w:rPr>
        <w:t>. Použitý materiál a provedení prací musí odpovídat příslušným předpisům a normám.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 xml:space="preserve">Veškeré montážní práce smí provádět pouze firma nebo fyzická osoba mající pro tuto činnost veškerá potřebná oprávnění ve smyslu </w:t>
      </w:r>
      <w:proofErr w:type="spellStart"/>
      <w:r w:rsidR="000C1847">
        <w:rPr>
          <w:szCs w:val="22"/>
        </w:rPr>
        <w:t>vyhl</w:t>
      </w:r>
      <w:proofErr w:type="spellEnd"/>
      <w:r w:rsidR="000C1847">
        <w:rPr>
          <w:szCs w:val="22"/>
        </w:rPr>
        <w:t xml:space="preserve">. 73/2010 </w:t>
      </w:r>
      <w:proofErr w:type="spellStart"/>
      <w:r w:rsidR="000C1847">
        <w:rPr>
          <w:szCs w:val="22"/>
        </w:rPr>
        <w:t>Sb</w:t>
      </w:r>
      <w:proofErr w:type="spellEnd"/>
      <w:r w:rsidRPr="00E478E5">
        <w:rPr>
          <w:szCs w:val="22"/>
        </w:rPr>
        <w:t xml:space="preserve"> a vyhlášky 50/78 Sb. Práce spojené </w:t>
      </w:r>
      <w:r w:rsidRPr="00E478E5">
        <w:rPr>
          <w:szCs w:val="22"/>
        </w:rPr>
        <w:lastRenderedPageBreak/>
        <w:t xml:space="preserve">s elektrickou instalací budou prováděny dle požadavků ČSN a souvisejících předpisů. Při práci musí být dodrženy veškeré bezpečnostní a hygienické požadavky dle platných zákonů vyhlášek a všech souvisejících norem a předpisů. 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 xml:space="preserve">Při předání díla bude předána dokumentace skutečného provedení, soupis všech protokolů, atestů, záručních listů, provozních a manipulačních řádů, návodů k obsluze a údržbě. 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>Prováděcí firma doloží oprávnění k provádění těchto prací a provede zaškolení obsluhy.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>Dodávka díla musí být kompletní provozuschopná a součástí dodávky je odzkoušení jednotlivých částí a zařízení jako celku včetně komplexních zkoušek.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 xml:space="preserve">Při předání díla bude předána dokumentace skutečného provedení, soupis všech protokolů, atestů, záručních listů, provozních a manipulačních řádů, návodů k obsluze a údržbě. 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>Prováděcí firma doloží oprávnění k provádění těchto prací a provede zaškolení obsluhy.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>Elektrické zařízení objektu může být uvedeno do provozu až provedení výchozí revize dle ČSN 33 2000-6-61. Vypracování revizní zprávy, zpracování dokumentace skutečného provedení a poučení uživatele o správném a bezpečném používání elektrické zabezpečí dodavatel elektromontážních prací.</w:t>
      </w:r>
    </w:p>
    <w:p w:rsidR="00E478E5" w:rsidRPr="00E478E5" w:rsidRDefault="00E478E5" w:rsidP="00E478E5">
      <w:pPr>
        <w:jc w:val="both"/>
        <w:rPr>
          <w:szCs w:val="22"/>
        </w:rPr>
      </w:pPr>
      <w:r w:rsidRPr="00E478E5">
        <w:rPr>
          <w:szCs w:val="22"/>
        </w:rPr>
        <w:t xml:space="preserve">Provozovatel </w:t>
      </w:r>
      <w:proofErr w:type="spellStart"/>
      <w:proofErr w:type="gramStart"/>
      <w:r w:rsidRPr="00E478E5">
        <w:rPr>
          <w:szCs w:val="22"/>
        </w:rPr>
        <w:t>el</w:t>
      </w:r>
      <w:proofErr w:type="gramEnd"/>
      <w:r w:rsidRPr="00E478E5">
        <w:rPr>
          <w:szCs w:val="22"/>
        </w:rPr>
        <w:t>.</w:t>
      </w:r>
      <w:proofErr w:type="gramStart"/>
      <w:r w:rsidRPr="00E478E5">
        <w:rPr>
          <w:szCs w:val="22"/>
        </w:rPr>
        <w:t>zařízení</w:t>
      </w:r>
      <w:proofErr w:type="spellEnd"/>
      <w:proofErr w:type="gramEnd"/>
      <w:r w:rsidRPr="00E478E5">
        <w:rPr>
          <w:szCs w:val="22"/>
        </w:rPr>
        <w:t xml:space="preserve"> je povinen vydat pro obsluhu zařízení provozní předpisy a zabezpečit, aby s nimi byla obsluha prokazatelně seznámena.</w:t>
      </w:r>
    </w:p>
    <w:p w:rsidR="00817E90" w:rsidRDefault="00817E90" w:rsidP="00E478E5">
      <w:pPr>
        <w:spacing w:line="240" w:lineRule="atLeast"/>
        <w:jc w:val="both"/>
        <w:rPr>
          <w:szCs w:val="24"/>
        </w:rPr>
      </w:pPr>
    </w:p>
    <w:p w:rsidR="00E478E5" w:rsidRPr="00E478E5" w:rsidRDefault="00E478E5" w:rsidP="00E478E5">
      <w:pPr>
        <w:spacing w:line="240" w:lineRule="atLeast"/>
        <w:jc w:val="both"/>
        <w:rPr>
          <w:i/>
        </w:rPr>
      </w:pPr>
      <w:r w:rsidRPr="00E478E5">
        <w:rPr>
          <w:i/>
        </w:rPr>
        <w:t xml:space="preserve">V Brně </w:t>
      </w:r>
      <w:proofErr w:type="gramStart"/>
      <w:r w:rsidR="009052A5">
        <w:rPr>
          <w:i/>
        </w:rPr>
        <w:t>12</w:t>
      </w:r>
      <w:r w:rsidRPr="00E478E5">
        <w:rPr>
          <w:i/>
        </w:rPr>
        <w:t>.</w:t>
      </w:r>
      <w:r w:rsidR="004957EC">
        <w:rPr>
          <w:i/>
        </w:rPr>
        <w:t>0</w:t>
      </w:r>
      <w:r w:rsidR="009052A5">
        <w:rPr>
          <w:i/>
        </w:rPr>
        <w:t>8</w:t>
      </w:r>
      <w:r w:rsidRPr="00E478E5">
        <w:rPr>
          <w:i/>
        </w:rPr>
        <w:t>.201</w:t>
      </w:r>
      <w:r w:rsidR="004957EC">
        <w:rPr>
          <w:i/>
        </w:rPr>
        <w:t>7</w:t>
      </w:r>
      <w:proofErr w:type="gramEnd"/>
      <w:r w:rsidRPr="00E478E5">
        <w:rPr>
          <w:i/>
        </w:rPr>
        <w:tab/>
      </w:r>
      <w:r w:rsidRPr="00E478E5">
        <w:rPr>
          <w:i/>
        </w:rPr>
        <w:tab/>
      </w:r>
      <w:r w:rsidRPr="00E478E5">
        <w:rPr>
          <w:i/>
        </w:rPr>
        <w:tab/>
      </w:r>
      <w:r w:rsidRPr="00E478E5">
        <w:rPr>
          <w:i/>
        </w:rPr>
        <w:tab/>
      </w:r>
      <w:r w:rsidRPr="00E478E5">
        <w:rPr>
          <w:i/>
        </w:rPr>
        <w:tab/>
      </w:r>
      <w:r w:rsidRPr="00E478E5">
        <w:rPr>
          <w:i/>
        </w:rPr>
        <w:tab/>
      </w:r>
      <w:r w:rsidRPr="00E478E5">
        <w:rPr>
          <w:i/>
        </w:rPr>
        <w:tab/>
        <w:t xml:space="preserve">ing. </w:t>
      </w:r>
      <w:r w:rsidR="004957EC">
        <w:rPr>
          <w:i/>
        </w:rPr>
        <w:t xml:space="preserve">Jan </w:t>
      </w:r>
      <w:proofErr w:type="spellStart"/>
      <w:r w:rsidR="004957EC">
        <w:rPr>
          <w:i/>
        </w:rPr>
        <w:t>Šobáň</w:t>
      </w:r>
      <w:proofErr w:type="spellEnd"/>
    </w:p>
    <w:sectPr w:rsidR="00E478E5" w:rsidRPr="00E47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94D63"/>
    <w:multiLevelType w:val="multilevel"/>
    <w:tmpl w:val="92F40E6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137B13BA"/>
    <w:multiLevelType w:val="hybridMultilevel"/>
    <w:tmpl w:val="121E8A26"/>
    <w:lvl w:ilvl="0" w:tplc="3EA0F89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CB87E9E"/>
    <w:multiLevelType w:val="singleLevel"/>
    <w:tmpl w:val="52702A1A"/>
    <w:lvl w:ilvl="0">
      <w:start w:val="1"/>
      <w:numFmt w:val="decimal"/>
      <w:pStyle w:val="1nadpis1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0"/>
        <w:szCs w:val="20"/>
      </w:rPr>
    </w:lvl>
  </w:abstractNum>
  <w:abstractNum w:abstractNumId="3" w15:restartNumberingAfterBreak="0">
    <w:nsid w:val="260E22A0"/>
    <w:multiLevelType w:val="hybridMultilevel"/>
    <w:tmpl w:val="712629DC"/>
    <w:lvl w:ilvl="0" w:tplc="222AF9DE">
      <w:start w:val="1"/>
      <w:numFmt w:val="lowerLetter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4" w15:restartNumberingAfterBreak="0">
    <w:nsid w:val="3F3225DD"/>
    <w:multiLevelType w:val="hybridMultilevel"/>
    <w:tmpl w:val="CAF25D96"/>
    <w:lvl w:ilvl="0" w:tplc="A1CCB7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63A62"/>
    <w:multiLevelType w:val="hybridMultilevel"/>
    <w:tmpl w:val="69C4F1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CC982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9E4134"/>
    <w:multiLevelType w:val="hybridMultilevel"/>
    <w:tmpl w:val="2222EAB2"/>
    <w:lvl w:ilvl="0" w:tplc="FFFFFFFF">
      <w:start w:val="1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2A2DFE"/>
    <w:multiLevelType w:val="hybridMultilevel"/>
    <w:tmpl w:val="18EEACA6"/>
    <w:lvl w:ilvl="0" w:tplc="1DBC05B4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E1212EC"/>
    <w:multiLevelType w:val="singleLevel"/>
    <w:tmpl w:val="17C4F98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9" w15:restartNumberingAfterBreak="0">
    <w:nsid w:val="63D000D3"/>
    <w:multiLevelType w:val="hybridMultilevel"/>
    <w:tmpl w:val="D5A846FC"/>
    <w:lvl w:ilvl="0" w:tplc="854C1AA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0C5A85"/>
    <w:multiLevelType w:val="hybridMultilevel"/>
    <w:tmpl w:val="31FAC6CA"/>
    <w:lvl w:ilvl="0" w:tplc="0405000F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78B737A"/>
    <w:multiLevelType w:val="singleLevel"/>
    <w:tmpl w:val="D8FCDF6C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1"/>
  </w:num>
  <w:num w:numId="5">
    <w:abstractNumId w:val="6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3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9D"/>
    <w:rsid w:val="000264FA"/>
    <w:rsid w:val="00032702"/>
    <w:rsid w:val="00057F82"/>
    <w:rsid w:val="000761D5"/>
    <w:rsid w:val="000A08DE"/>
    <w:rsid w:val="000C1847"/>
    <w:rsid w:val="000C3363"/>
    <w:rsid w:val="000F20A8"/>
    <w:rsid w:val="001239F4"/>
    <w:rsid w:val="00127F82"/>
    <w:rsid w:val="00167B8B"/>
    <w:rsid w:val="00204744"/>
    <w:rsid w:val="00296089"/>
    <w:rsid w:val="00302CEE"/>
    <w:rsid w:val="003F619D"/>
    <w:rsid w:val="003F6D25"/>
    <w:rsid w:val="004957EC"/>
    <w:rsid w:val="004B4411"/>
    <w:rsid w:val="004D401F"/>
    <w:rsid w:val="005102D6"/>
    <w:rsid w:val="00607780"/>
    <w:rsid w:val="006448E6"/>
    <w:rsid w:val="00666C86"/>
    <w:rsid w:val="00673698"/>
    <w:rsid w:val="006770CC"/>
    <w:rsid w:val="00817E90"/>
    <w:rsid w:val="009052A5"/>
    <w:rsid w:val="00923C48"/>
    <w:rsid w:val="009403CA"/>
    <w:rsid w:val="00952876"/>
    <w:rsid w:val="009A65C1"/>
    <w:rsid w:val="009D557E"/>
    <w:rsid w:val="00AF1017"/>
    <w:rsid w:val="00B9780C"/>
    <w:rsid w:val="00C13CA9"/>
    <w:rsid w:val="00C4778F"/>
    <w:rsid w:val="00CE3C29"/>
    <w:rsid w:val="00E1623F"/>
    <w:rsid w:val="00E478E5"/>
    <w:rsid w:val="00E55408"/>
    <w:rsid w:val="00EC51C6"/>
    <w:rsid w:val="00EF4B50"/>
    <w:rsid w:val="00EF7F1D"/>
    <w:rsid w:val="00F153A7"/>
    <w:rsid w:val="00F737B9"/>
    <w:rsid w:val="00FB5528"/>
    <w:rsid w:val="00FE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A6972-A884-4768-8BFE-405E6CE0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619D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F619D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619D"/>
    <w:pPr>
      <w:keepNext/>
      <w:spacing w:before="120" w:after="120"/>
      <w:outlineLvl w:val="1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52A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737B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619D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619D"/>
    <w:rPr>
      <w:rFonts w:ascii="Arial" w:eastAsia="Times New Roman" w:hAnsi="Arial" w:cs="Times New Roman"/>
      <w:b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3F619D"/>
    <w:pPr>
      <w:spacing w:before="120"/>
      <w:ind w:left="705"/>
    </w:pPr>
  </w:style>
  <w:style w:type="character" w:customStyle="1" w:styleId="ZkladntextodsazenChar">
    <w:name w:val="Základní text odsazený Char"/>
    <w:basedOn w:val="Standardnpsmoodstavce"/>
    <w:link w:val="Zkladntextodsazen"/>
    <w:rsid w:val="003F619D"/>
    <w:rPr>
      <w:rFonts w:ascii="Arial" w:eastAsia="Times New Roman" w:hAnsi="Arial" w:cs="Times New Roman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F619D"/>
    <w:pPr>
      <w:spacing w:line="240" w:lineRule="atLeast"/>
      <w:ind w:left="1410"/>
    </w:pPr>
  </w:style>
  <w:style w:type="character" w:customStyle="1" w:styleId="Zkladntextodsazen2Char">
    <w:name w:val="Základní text odsazený 2 Char"/>
    <w:basedOn w:val="Standardnpsmoodstavce"/>
    <w:link w:val="Zkladntextodsazen2"/>
    <w:rsid w:val="003F619D"/>
    <w:rPr>
      <w:rFonts w:ascii="Arial" w:eastAsia="Times New Roman" w:hAnsi="Arial" w:cs="Times New Roman"/>
      <w:szCs w:val="20"/>
      <w:lang w:eastAsia="cs-CZ"/>
    </w:rPr>
  </w:style>
  <w:style w:type="paragraph" w:customStyle="1" w:styleId="pedsazen">
    <w:name w:val="pøedsazený"/>
    <w:basedOn w:val="Normln"/>
    <w:rsid w:val="003F619D"/>
    <w:pPr>
      <w:ind w:left="113" w:hanging="113"/>
    </w:pPr>
  </w:style>
  <w:style w:type="paragraph" w:styleId="Obsah1">
    <w:name w:val="toc 1"/>
    <w:basedOn w:val="Normln"/>
    <w:next w:val="Normln"/>
    <w:uiPriority w:val="39"/>
    <w:qFormat/>
    <w:rsid w:val="003F619D"/>
    <w:pPr>
      <w:tabs>
        <w:tab w:val="right" w:leader="dot" w:pos="8789"/>
      </w:tabs>
      <w:spacing w:before="60" w:after="60"/>
      <w:jc w:val="both"/>
    </w:pPr>
    <w:rPr>
      <w:b/>
      <w:caps/>
    </w:rPr>
  </w:style>
  <w:style w:type="paragraph" w:customStyle="1" w:styleId="BBSnormal">
    <w:name w:val="_BBS normal"/>
    <w:basedOn w:val="Normln"/>
    <w:rsid w:val="003F619D"/>
    <w:pPr>
      <w:jc w:val="both"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3F619D"/>
    <w:pPr>
      <w:ind w:left="708"/>
    </w:pPr>
  </w:style>
  <w:style w:type="character" w:styleId="Hypertextovodkaz">
    <w:name w:val="Hyperlink"/>
    <w:basedOn w:val="Standardnpsmoodstavce"/>
    <w:uiPriority w:val="99"/>
    <w:unhideWhenUsed/>
    <w:rsid w:val="003F619D"/>
    <w:rPr>
      <w:color w:val="0000FF"/>
      <w:u w:val="single"/>
    </w:rPr>
  </w:style>
  <w:style w:type="character" w:styleId="Siln">
    <w:name w:val="Strong"/>
    <w:basedOn w:val="Standardnpsmoodstavce"/>
    <w:qFormat/>
    <w:rsid w:val="003F619D"/>
    <w:rPr>
      <w:b/>
      <w:bCs/>
    </w:rPr>
  </w:style>
  <w:style w:type="paragraph" w:customStyle="1" w:styleId="Prvnstrana">
    <w:name w:val="První strana"/>
    <w:basedOn w:val="Normln"/>
    <w:rsid w:val="003F619D"/>
    <w:pPr>
      <w:tabs>
        <w:tab w:val="left" w:pos="1814"/>
        <w:tab w:val="left" w:pos="1928"/>
        <w:tab w:val="left" w:pos="2835"/>
        <w:tab w:val="left" w:pos="2948"/>
      </w:tabs>
      <w:spacing w:line="320" w:lineRule="atLeast"/>
      <w:jc w:val="both"/>
    </w:pPr>
    <w:rPr>
      <w:rFonts w:ascii="Times New Roman" w:hAnsi="Times New Roman"/>
      <w:sz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E3C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E3C29"/>
    <w:rPr>
      <w:rFonts w:ascii="Arial" w:eastAsia="Times New Roman" w:hAnsi="Arial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CE3C29"/>
    <w:pPr>
      <w:tabs>
        <w:tab w:val="left" w:pos="8931"/>
      </w:tabs>
      <w:overflowPunct w:val="0"/>
      <w:autoSpaceDE w:val="0"/>
      <w:autoSpaceDN w:val="0"/>
      <w:adjustRightInd w:val="0"/>
      <w:ind w:hanging="142"/>
      <w:jc w:val="both"/>
      <w:textAlignment w:val="baseline"/>
    </w:pPr>
  </w:style>
  <w:style w:type="paragraph" w:styleId="slovanseznam">
    <w:name w:val="List Number"/>
    <w:basedOn w:val="Seznam"/>
    <w:rsid w:val="00E478E5"/>
    <w:pPr>
      <w:overflowPunct w:val="0"/>
      <w:autoSpaceDE w:val="0"/>
      <w:autoSpaceDN w:val="0"/>
      <w:adjustRightInd w:val="0"/>
      <w:spacing w:before="240" w:after="60"/>
      <w:ind w:left="0" w:firstLine="0"/>
      <w:contextualSpacing w:val="0"/>
      <w:textAlignment w:val="baseline"/>
    </w:pPr>
    <w:rPr>
      <w:rFonts w:ascii="Times New Roman" w:hAnsi="Times New Roman"/>
      <w:b/>
      <w:i/>
      <w:sz w:val="24"/>
    </w:rPr>
  </w:style>
  <w:style w:type="paragraph" w:styleId="Seznam">
    <w:name w:val="List"/>
    <w:basedOn w:val="Normln"/>
    <w:uiPriority w:val="99"/>
    <w:semiHidden/>
    <w:unhideWhenUsed/>
    <w:rsid w:val="00E478E5"/>
    <w:pPr>
      <w:ind w:left="283" w:hanging="283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E478E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478E5"/>
    <w:rPr>
      <w:rFonts w:ascii="Arial" w:eastAsia="Times New Roman" w:hAnsi="Arial" w:cs="Times New Roman"/>
      <w:szCs w:val="20"/>
      <w:lang w:eastAsia="cs-CZ"/>
    </w:rPr>
  </w:style>
  <w:style w:type="paragraph" w:customStyle="1" w:styleId="1nadpis1">
    <w:name w:val="1.nadpis1"/>
    <w:basedOn w:val="Normln"/>
    <w:rsid w:val="00EF4B50"/>
    <w:pPr>
      <w:numPr>
        <w:numId w:val="3"/>
      </w:numPr>
    </w:pPr>
    <w:rPr>
      <w:rFonts w:ascii="Times New Roman" w:hAnsi="Times New Roman"/>
      <w:b/>
      <w:sz w:val="28"/>
    </w:rPr>
  </w:style>
  <w:style w:type="paragraph" w:styleId="Normlnweb">
    <w:name w:val="Normal (Web)"/>
    <w:basedOn w:val="Normln"/>
    <w:rsid w:val="00923C48"/>
    <w:pPr>
      <w:spacing w:before="100" w:after="10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F737B9"/>
    <w:pPr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737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52A5"/>
    <w:rPr>
      <w:rFonts w:asciiTheme="majorHAnsi" w:eastAsiaTheme="majorEastAsia" w:hAnsiTheme="majorHAnsi" w:cstheme="majorBidi"/>
      <w:color w:val="1F4D78" w:themeColor="accent1" w:themeShade="7F"/>
      <w:szCs w:val="20"/>
      <w:lang w:eastAsia="cs-CZ"/>
    </w:rPr>
  </w:style>
  <w:style w:type="paragraph" w:customStyle="1" w:styleId="Zkladntext0">
    <w:name w:val="Základní text~~"/>
    <w:basedOn w:val="Normln0"/>
    <w:rsid w:val="00905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2404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Kadrnožka</dc:creator>
  <cp:keywords/>
  <dc:description/>
  <cp:lastModifiedBy>Miroslav Kadrnožka</cp:lastModifiedBy>
  <cp:revision>2</cp:revision>
  <dcterms:created xsi:type="dcterms:W3CDTF">2017-09-19T10:43:00Z</dcterms:created>
  <dcterms:modified xsi:type="dcterms:W3CDTF">2017-09-19T10:43:00Z</dcterms:modified>
</cp:coreProperties>
</file>